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757F96" w:rsidRDefault="00332629">
      <w:pPr>
        <w:spacing w:before="229"/>
        <w:ind w:left="102" w:right="99" w:firstLine="1"/>
        <w:jc w:val="center"/>
        <w:rPr>
          <w:b/>
          <w:sz w:val="40"/>
        </w:rPr>
      </w:pPr>
      <w:r>
        <w:rPr>
          <w:b/>
          <w:sz w:val="40"/>
        </w:rPr>
        <w:t xml:space="preserve">PREAMBLE NOTES FOR </w:t>
      </w:r>
    </w:p>
    <w:p w:rsidR="00757F96" w:rsidRDefault="00332629">
      <w:pPr>
        <w:spacing w:before="229"/>
        <w:ind w:left="102" w:right="99" w:firstLine="1"/>
        <w:jc w:val="center"/>
        <w:rPr>
          <w:b/>
          <w:sz w:val="40"/>
        </w:rPr>
      </w:pPr>
      <w:r>
        <w:rPr>
          <w:b/>
          <w:sz w:val="40"/>
        </w:rPr>
        <w:t>DI/PE PIPES&amp; FIT</w:t>
      </w:r>
      <w:r w:rsidR="00757F96">
        <w:rPr>
          <w:b/>
          <w:sz w:val="40"/>
        </w:rPr>
        <w:t xml:space="preserve">TINGS, SPECIALS, </w:t>
      </w:r>
    </w:p>
    <w:p w:rsidR="00757F96" w:rsidRDefault="00757F96">
      <w:pPr>
        <w:spacing w:before="229"/>
        <w:ind w:left="102" w:right="99" w:firstLine="1"/>
        <w:jc w:val="center"/>
        <w:rPr>
          <w:b/>
          <w:spacing w:val="-7"/>
          <w:sz w:val="40"/>
        </w:rPr>
      </w:pPr>
      <w:r>
        <w:rPr>
          <w:b/>
          <w:sz w:val="40"/>
        </w:rPr>
        <w:t xml:space="preserve">ACCESSORIES, </w:t>
      </w:r>
      <w:r w:rsidR="00746DEF">
        <w:rPr>
          <w:b/>
          <w:sz w:val="40"/>
        </w:rPr>
        <w:t xml:space="preserve">DI </w:t>
      </w:r>
      <w:r w:rsidR="00332629">
        <w:rPr>
          <w:b/>
          <w:spacing w:val="-16"/>
          <w:sz w:val="40"/>
        </w:rPr>
        <w:t>VALVES</w:t>
      </w:r>
      <w:r w:rsidR="00332629">
        <w:rPr>
          <w:b/>
          <w:spacing w:val="1"/>
          <w:sz w:val="40"/>
        </w:rPr>
        <w:t xml:space="preserve"> </w:t>
      </w:r>
      <w:r w:rsidR="00332629">
        <w:rPr>
          <w:b/>
          <w:spacing w:val="-7"/>
          <w:sz w:val="40"/>
        </w:rPr>
        <w:t>SUPPLY</w:t>
      </w:r>
      <w:r>
        <w:rPr>
          <w:b/>
          <w:spacing w:val="-7"/>
          <w:sz w:val="40"/>
        </w:rPr>
        <w:t xml:space="preserve"> </w:t>
      </w:r>
    </w:p>
    <w:p w:rsidR="00854EF4" w:rsidRDefault="00757F96" w:rsidP="006E5014">
      <w:pPr>
        <w:spacing w:before="229"/>
        <w:ind w:left="102" w:right="99" w:firstLine="1"/>
        <w:jc w:val="center"/>
        <w:rPr>
          <w:b/>
          <w:spacing w:val="-7"/>
          <w:sz w:val="40"/>
        </w:rPr>
        <w:sectPr w:rsidR="00854EF4" w:rsidSect="00757F96">
          <w:pgSz w:w="11910" w:h="16840"/>
          <w:pgMar w:top="1580" w:right="860" w:bottom="280" w:left="851" w:header="720" w:footer="720" w:gutter="0"/>
          <w:cols w:space="720"/>
        </w:sectPr>
      </w:pPr>
      <w:r>
        <w:rPr>
          <w:b/>
          <w:spacing w:val="-7"/>
          <w:sz w:val="40"/>
        </w:rPr>
        <w:t>AND DI MANHOLE COVERS</w:t>
      </w:r>
    </w:p>
    <w:p w:rsidR="00FC7C33" w:rsidRDefault="00332629">
      <w:pPr>
        <w:pStyle w:val="Heading1"/>
        <w:spacing w:before="119"/>
        <w:ind w:left="3399" w:right="2996" w:firstLine="0"/>
        <w:jc w:val="center"/>
        <w:rPr>
          <w:u w:val="none"/>
        </w:rPr>
      </w:pPr>
      <w:r>
        <w:rPr>
          <w:u w:val="none"/>
        </w:rPr>
        <w:lastRenderedPageBreak/>
        <w:t>PREAMBLE NOTES ON PRICING</w:t>
      </w:r>
    </w:p>
    <w:p w:rsidR="00FC7C33" w:rsidRDefault="00FC7C33">
      <w:pPr>
        <w:pStyle w:val="BodyText"/>
        <w:spacing w:before="9"/>
        <w:rPr>
          <w:b/>
          <w:sz w:val="15"/>
        </w:rPr>
      </w:pPr>
    </w:p>
    <w:p w:rsidR="00FC7C33" w:rsidRDefault="00332629">
      <w:pPr>
        <w:pStyle w:val="ListParagraph"/>
        <w:numPr>
          <w:ilvl w:val="0"/>
          <w:numId w:val="3"/>
        </w:numPr>
        <w:tabs>
          <w:tab w:val="left" w:pos="1273"/>
          <w:tab w:val="left" w:pos="1274"/>
        </w:tabs>
        <w:spacing w:before="90"/>
        <w:rPr>
          <w:b/>
          <w:sz w:val="24"/>
        </w:rPr>
      </w:pPr>
      <w:r>
        <w:rPr>
          <w:b/>
          <w:sz w:val="24"/>
          <w:u w:val="thick"/>
        </w:rPr>
        <w:t>General</w:t>
      </w:r>
    </w:p>
    <w:p w:rsidR="00FC7C33" w:rsidRDefault="00FC7C33">
      <w:pPr>
        <w:pStyle w:val="BodyText"/>
        <w:spacing w:before="2"/>
        <w:rPr>
          <w:b/>
          <w:sz w:val="16"/>
        </w:rPr>
      </w:pPr>
    </w:p>
    <w:p w:rsidR="00FC7C33" w:rsidRDefault="00332629">
      <w:pPr>
        <w:pStyle w:val="ListParagraph"/>
        <w:numPr>
          <w:ilvl w:val="1"/>
          <w:numId w:val="3"/>
        </w:numPr>
        <w:tabs>
          <w:tab w:val="left" w:pos="1994"/>
        </w:tabs>
        <w:spacing w:before="90"/>
        <w:ind w:left="1993" w:right="142"/>
        <w:jc w:val="both"/>
        <w:rPr>
          <w:sz w:val="24"/>
        </w:rPr>
      </w:pPr>
      <w:r>
        <w:rPr>
          <w:sz w:val="24"/>
        </w:rPr>
        <w:t xml:space="preserve">The bidder's attention is specifically directed to the Form of Bid, Instructions to Bidders, Conditions of Contract, Particular Conditions, Contract Data, Delivery Schedule, Schedule of Particulars and Specifications which are to be read in conjunction with the Bills of Quantities. The following notes are given to assist in pricing the Bills of Quantities and enable the Contractor to arrive at the total Bid Price. The Bidder shall insert rates and prices for the supply and delivery of DI/PE pipes, fittings, specials, </w:t>
      </w:r>
      <w:r w:rsidR="00746DEF">
        <w:rPr>
          <w:sz w:val="24"/>
        </w:rPr>
        <w:t>accessories</w:t>
      </w:r>
      <w:r w:rsidR="006E5014">
        <w:rPr>
          <w:sz w:val="24"/>
        </w:rPr>
        <w:t xml:space="preserve">, DI valves </w:t>
      </w:r>
      <w:r w:rsidR="00746DEF">
        <w:rPr>
          <w:sz w:val="24"/>
        </w:rPr>
        <w:t>and</w:t>
      </w:r>
      <w:r w:rsidR="006E5014">
        <w:rPr>
          <w:sz w:val="24"/>
        </w:rPr>
        <w:t xml:space="preserve"> DI Manhole </w:t>
      </w:r>
      <w:r w:rsidR="006F640F">
        <w:rPr>
          <w:sz w:val="24"/>
        </w:rPr>
        <w:t>Covers in</w:t>
      </w:r>
      <w:r>
        <w:rPr>
          <w:sz w:val="24"/>
        </w:rPr>
        <w:t xml:space="preserve"> conformity to the specifications.</w:t>
      </w:r>
    </w:p>
    <w:p w:rsidR="00FC7C33" w:rsidRDefault="00FC7C33">
      <w:pPr>
        <w:pStyle w:val="BodyText"/>
      </w:pPr>
    </w:p>
    <w:p w:rsidR="00FC7C33" w:rsidRDefault="00332629">
      <w:pPr>
        <w:pStyle w:val="Heading1"/>
        <w:numPr>
          <w:ilvl w:val="0"/>
          <w:numId w:val="3"/>
        </w:numPr>
        <w:tabs>
          <w:tab w:val="left" w:pos="1273"/>
          <w:tab w:val="left" w:pos="1274"/>
        </w:tabs>
        <w:rPr>
          <w:u w:val="none"/>
        </w:rPr>
      </w:pPr>
      <w:r>
        <w:rPr>
          <w:u w:val="thick"/>
        </w:rPr>
        <w:t>Description of Items</w:t>
      </w:r>
    </w:p>
    <w:p w:rsidR="00FC7C33" w:rsidRDefault="00FC7C33">
      <w:pPr>
        <w:pStyle w:val="BodyText"/>
        <w:spacing w:before="3"/>
        <w:rPr>
          <w:b/>
          <w:sz w:val="16"/>
        </w:rPr>
      </w:pPr>
    </w:p>
    <w:p w:rsidR="00FC7C33" w:rsidRDefault="00332629">
      <w:pPr>
        <w:pStyle w:val="ListParagraph"/>
        <w:numPr>
          <w:ilvl w:val="1"/>
          <w:numId w:val="3"/>
        </w:numPr>
        <w:tabs>
          <w:tab w:val="left" w:pos="1994"/>
        </w:tabs>
        <w:spacing w:before="90"/>
        <w:ind w:left="1993" w:right="143"/>
        <w:jc w:val="both"/>
        <w:rPr>
          <w:sz w:val="24"/>
        </w:rPr>
      </w:pPr>
      <w:r>
        <w:rPr>
          <w:sz w:val="24"/>
        </w:rPr>
        <w:t>Descriptions attached to the items in the Bills of Quantities are only in sufficient detail to ensure identification of the work described in the specification and the Drawings.</w:t>
      </w:r>
    </w:p>
    <w:p w:rsidR="00FC7C33" w:rsidRDefault="00FC7C33">
      <w:pPr>
        <w:pStyle w:val="BodyText"/>
      </w:pPr>
    </w:p>
    <w:p w:rsidR="00FC7C33" w:rsidRDefault="00332629">
      <w:pPr>
        <w:pStyle w:val="Heading1"/>
        <w:numPr>
          <w:ilvl w:val="0"/>
          <w:numId w:val="3"/>
        </w:numPr>
        <w:tabs>
          <w:tab w:val="left" w:pos="1273"/>
          <w:tab w:val="left" w:pos="1274"/>
        </w:tabs>
        <w:rPr>
          <w:u w:val="none"/>
        </w:rPr>
      </w:pPr>
      <w:r>
        <w:rPr>
          <w:u w:val="thick"/>
        </w:rPr>
        <w:t>Rates and</w:t>
      </w:r>
      <w:r>
        <w:rPr>
          <w:spacing w:val="-1"/>
          <w:u w:val="thick"/>
        </w:rPr>
        <w:t xml:space="preserve"> </w:t>
      </w:r>
      <w:r>
        <w:rPr>
          <w:u w:val="thick"/>
        </w:rPr>
        <w:t>prices</w:t>
      </w:r>
    </w:p>
    <w:p w:rsidR="00FC7C33" w:rsidRDefault="00FC7C33">
      <w:pPr>
        <w:pStyle w:val="BodyText"/>
        <w:spacing w:before="2"/>
        <w:rPr>
          <w:b/>
          <w:sz w:val="16"/>
        </w:rPr>
      </w:pPr>
    </w:p>
    <w:p w:rsidR="00FC7C33" w:rsidRDefault="00332629">
      <w:pPr>
        <w:pStyle w:val="ListParagraph"/>
        <w:numPr>
          <w:ilvl w:val="1"/>
          <w:numId w:val="3"/>
        </w:numPr>
        <w:tabs>
          <w:tab w:val="left" w:pos="1993"/>
          <w:tab w:val="left" w:pos="1994"/>
        </w:tabs>
        <w:spacing w:before="90"/>
        <w:ind w:left="1993" w:right="146" w:hanging="809"/>
        <w:rPr>
          <w:sz w:val="24"/>
        </w:rPr>
      </w:pPr>
      <w:r>
        <w:rPr>
          <w:sz w:val="24"/>
        </w:rPr>
        <w:t>In pricing the items of the Bills of Quantities, the bidder shall cover and will be deemed to have covered himself for:</w:t>
      </w:r>
    </w:p>
    <w:p w:rsidR="00FC7C33" w:rsidRDefault="00FC7C33">
      <w:pPr>
        <w:pStyle w:val="BodyText"/>
      </w:pPr>
    </w:p>
    <w:p w:rsidR="00FC7C33" w:rsidRDefault="00332629">
      <w:pPr>
        <w:pStyle w:val="ListParagraph"/>
        <w:numPr>
          <w:ilvl w:val="2"/>
          <w:numId w:val="3"/>
        </w:numPr>
        <w:tabs>
          <w:tab w:val="left" w:pos="2715"/>
        </w:tabs>
        <w:ind w:right="142"/>
        <w:jc w:val="both"/>
        <w:rPr>
          <w:sz w:val="24"/>
        </w:rPr>
      </w:pPr>
      <w:r>
        <w:rPr>
          <w:sz w:val="24"/>
        </w:rPr>
        <w:t xml:space="preserve">All costs arising out of inspection except Pre-Shipment Inspection by the NWSDB Engineers as per Clause </w:t>
      </w:r>
      <w:r w:rsidR="00746DEF">
        <w:rPr>
          <w:sz w:val="24"/>
        </w:rPr>
        <w:t>21</w:t>
      </w:r>
      <w:r>
        <w:rPr>
          <w:sz w:val="24"/>
        </w:rPr>
        <w:t xml:space="preserve"> of the General Conditions of Contract, testing, packing, transportation, clearing, loading, unloading, stacking, shipping line charges, warehouse rent all customs duties, port chargers, any demurrages, import duties, import license fees, cost of insurance from the manufacturer’s plant to the Contractor’s </w:t>
      </w:r>
      <w:proofErr w:type="spellStart"/>
      <w:r>
        <w:rPr>
          <w:sz w:val="24"/>
        </w:rPr>
        <w:t>storesat</w:t>
      </w:r>
      <w:proofErr w:type="spellEnd"/>
      <w:r>
        <w:rPr>
          <w:sz w:val="24"/>
        </w:rPr>
        <w:t xml:space="preserve"> site, Agents Commission if any and other minor expenses and charges to complete the supply of pipes, fittings, accessories, rubber rings and other materials in conformity to the bidding</w:t>
      </w:r>
      <w:r>
        <w:rPr>
          <w:spacing w:val="-4"/>
          <w:sz w:val="24"/>
        </w:rPr>
        <w:t xml:space="preserve"> </w:t>
      </w:r>
      <w:r>
        <w:rPr>
          <w:sz w:val="24"/>
        </w:rPr>
        <w:t>document.</w:t>
      </w:r>
    </w:p>
    <w:p w:rsidR="00FC7C33" w:rsidRDefault="00332629">
      <w:pPr>
        <w:pStyle w:val="ListParagraph"/>
        <w:numPr>
          <w:ilvl w:val="2"/>
          <w:numId w:val="3"/>
        </w:numPr>
        <w:tabs>
          <w:tab w:val="left" w:pos="2715"/>
        </w:tabs>
        <w:spacing w:before="68"/>
        <w:ind w:hanging="722"/>
        <w:jc w:val="both"/>
        <w:rPr>
          <w:sz w:val="24"/>
        </w:rPr>
      </w:pPr>
      <w:r>
        <w:rPr>
          <w:spacing w:val="-4"/>
          <w:sz w:val="24"/>
        </w:rPr>
        <w:t xml:space="preserve">Cost </w:t>
      </w:r>
      <w:r>
        <w:rPr>
          <w:sz w:val="24"/>
        </w:rPr>
        <w:t xml:space="preserve">of </w:t>
      </w:r>
      <w:r>
        <w:rPr>
          <w:spacing w:val="-5"/>
          <w:sz w:val="24"/>
        </w:rPr>
        <w:t xml:space="preserve">accessories </w:t>
      </w:r>
      <w:r>
        <w:rPr>
          <w:spacing w:val="-4"/>
          <w:sz w:val="24"/>
        </w:rPr>
        <w:t xml:space="preserve">not specifically listed, </w:t>
      </w:r>
      <w:r>
        <w:rPr>
          <w:spacing w:val="-3"/>
          <w:sz w:val="24"/>
        </w:rPr>
        <w:t xml:space="preserve">but </w:t>
      </w:r>
      <w:r>
        <w:rPr>
          <w:spacing w:val="-4"/>
          <w:sz w:val="24"/>
        </w:rPr>
        <w:t xml:space="preserve">necessary </w:t>
      </w:r>
      <w:r>
        <w:rPr>
          <w:spacing w:val="-3"/>
          <w:sz w:val="24"/>
        </w:rPr>
        <w:t xml:space="preserve">for </w:t>
      </w:r>
      <w:r>
        <w:rPr>
          <w:spacing w:val="-4"/>
          <w:sz w:val="24"/>
        </w:rPr>
        <w:t>proper</w:t>
      </w:r>
      <w:r>
        <w:rPr>
          <w:spacing w:val="-44"/>
          <w:sz w:val="24"/>
        </w:rPr>
        <w:t xml:space="preserve"> </w:t>
      </w:r>
      <w:r>
        <w:rPr>
          <w:spacing w:val="-4"/>
          <w:sz w:val="24"/>
        </w:rPr>
        <w:t>completion.</w:t>
      </w:r>
    </w:p>
    <w:p w:rsidR="00FC7C33" w:rsidRDefault="00332629">
      <w:pPr>
        <w:pStyle w:val="ListParagraph"/>
        <w:numPr>
          <w:ilvl w:val="2"/>
          <w:numId w:val="3"/>
        </w:numPr>
        <w:tabs>
          <w:tab w:val="left" w:pos="2715"/>
        </w:tabs>
        <w:spacing w:before="139"/>
        <w:ind w:right="149"/>
        <w:jc w:val="both"/>
        <w:rPr>
          <w:sz w:val="24"/>
        </w:rPr>
      </w:pPr>
      <w:r>
        <w:rPr>
          <w:sz w:val="24"/>
        </w:rPr>
        <w:t>All costs including all taxes and duties and other charges imposed outside Sri Lanka on raw materials, production, manufacturing, sales, transport and any other cost that may be incurred of all</w:t>
      </w:r>
      <w:r>
        <w:rPr>
          <w:spacing w:val="-10"/>
          <w:sz w:val="24"/>
        </w:rPr>
        <w:t xml:space="preserve"> </w:t>
      </w:r>
      <w:r>
        <w:rPr>
          <w:sz w:val="24"/>
        </w:rPr>
        <w:t>goods.</w:t>
      </w:r>
    </w:p>
    <w:p w:rsidR="00746DEF" w:rsidRPr="00746DEF" w:rsidRDefault="00332629" w:rsidP="00746DEF">
      <w:pPr>
        <w:pStyle w:val="ListParagraph"/>
        <w:numPr>
          <w:ilvl w:val="2"/>
          <w:numId w:val="3"/>
        </w:numPr>
        <w:tabs>
          <w:tab w:val="left" w:pos="2715"/>
        </w:tabs>
        <w:spacing w:before="161"/>
        <w:ind w:right="143"/>
        <w:jc w:val="both"/>
        <w:rPr>
          <w:sz w:val="24"/>
        </w:rPr>
      </w:pPr>
      <w:r>
        <w:rPr>
          <w:sz w:val="24"/>
        </w:rPr>
        <w:t xml:space="preserve">Prices charged by the Supplier for the preceding incidental services shall be included in the </w:t>
      </w:r>
      <w:bookmarkStart w:id="0" w:name="_GoBack"/>
      <w:bookmarkEnd w:id="0"/>
      <w:r>
        <w:rPr>
          <w:sz w:val="24"/>
        </w:rPr>
        <w:t>contract price for the</w:t>
      </w:r>
      <w:r>
        <w:rPr>
          <w:spacing w:val="-5"/>
          <w:sz w:val="24"/>
        </w:rPr>
        <w:t xml:space="preserve"> </w:t>
      </w:r>
      <w:r>
        <w:rPr>
          <w:sz w:val="24"/>
        </w:rPr>
        <w:t>Goods.</w:t>
      </w:r>
    </w:p>
    <w:p w:rsidR="00746DEF" w:rsidRPr="00746DEF" w:rsidRDefault="00746DEF" w:rsidP="00746DEF">
      <w:pPr>
        <w:pStyle w:val="ListParagraph"/>
        <w:numPr>
          <w:ilvl w:val="2"/>
          <w:numId w:val="3"/>
        </w:numPr>
        <w:tabs>
          <w:tab w:val="left" w:pos="2715"/>
        </w:tabs>
        <w:spacing w:before="68"/>
        <w:ind w:hanging="722"/>
        <w:jc w:val="both"/>
        <w:rPr>
          <w:spacing w:val="-4"/>
          <w:sz w:val="24"/>
        </w:rPr>
      </w:pPr>
      <w:r w:rsidRPr="00746DEF">
        <w:rPr>
          <w:spacing w:val="-4"/>
          <w:sz w:val="24"/>
        </w:rPr>
        <w:t>Any taxes as stated in the Conditions of</w:t>
      </w:r>
      <w:r>
        <w:rPr>
          <w:spacing w:val="-4"/>
          <w:sz w:val="24"/>
        </w:rPr>
        <w:t xml:space="preserve"> </w:t>
      </w:r>
      <w:r w:rsidRPr="00746DEF">
        <w:rPr>
          <w:spacing w:val="-4"/>
          <w:sz w:val="24"/>
        </w:rPr>
        <w:t>Contract.</w:t>
      </w:r>
    </w:p>
    <w:p w:rsidR="00FC7C33" w:rsidRDefault="00FC7C33">
      <w:pPr>
        <w:pStyle w:val="BodyText"/>
        <w:spacing w:before="11"/>
        <w:rPr>
          <w:sz w:val="29"/>
        </w:rPr>
      </w:pPr>
    </w:p>
    <w:p w:rsidR="00746DEF" w:rsidRDefault="00746DEF">
      <w:pPr>
        <w:pStyle w:val="BodyText"/>
        <w:spacing w:before="11"/>
        <w:rPr>
          <w:sz w:val="29"/>
        </w:rPr>
      </w:pPr>
    </w:p>
    <w:p w:rsidR="00746DEF" w:rsidRDefault="00746DEF">
      <w:pPr>
        <w:pStyle w:val="BodyText"/>
        <w:spacing w:before="11"/>
        <w:rPr>
          <w:sz w:val="29"/>
        </w:rPr>
      </w:pPr>
    </w:p>
    <w:p w:rsidR="00854EF4" w:rsidRDefault="00854EF4">
      <w:pPr>
        <w:pStyle w:val="BodyText"/>
        <w:spacing w:before="11"/>
        <w:rPr>
          <w:sz w:val="29"/>
        </w:rPr>
      </w:pPr>
    </w:p>
    <w:p w:rsidR="006E5014" w:rsidRDefault="006E5014">
      <w:pPr>
        <w:pStyle w:val="BodyText"/>
        <w:spacing w:before="11"/>
        <w:rPr>
          <w:sz w:val="29"/>
        </w:rPr>
      </w:pPr>
    </w:p>
    <w:p w:rsidR="00746DEF" w:rsidRDefault="00746DEF">
      <w:pPr>
        <w:pStyle w:val="BodyText"/>
        <w:spacing w:before="11"/>
        <w:rPr>
          <w:sz w:val="29"/>
        </w:rPr>
      </w:pPr>
    </w:p>
    <w:p w:rsidR="00746DEF" w:rsidRDefault="00746DEF">
      <w:pPr>
        <w:pStyle w:val="BodyText"/>
        <w:spacing w:before="11"/>
        <w:rPr>
          <w:sz w:val="29"/>
        </w:rPr>
      </w:pPr>
    </w:p>
    <w:p w:rsidR="00FC7C33" w:rsidRDefault="00332629">
      <w:pPr>
        <w:pStyle w:val="Heading1"/>
        <w:numPr>
          <w:ilvl w:val="0"/>
          <w:numId w:val="3"/>
        </w:numPr>
        <w:tabs>
          <w:tab w:val="left" w:pos="1273"/>
          <w:tab w:val="left" w:pos="1274"/>
        </w:tabs>
        <w:rPr>
          <w:u w:val="none"/>
        </w:rPr>
      </w:pPr>
      <w:r>
        <w:rPr>
          <w:u w:val="thick"/>
        </w:rPr>
        <w:t>Schedule of</w:t>
      </w:r>
      <w:r>
        <w:rPr>
          <w:spacing w:val="-1"/>
          <w:u w:val="thick"/>
        </w:rPr>
        <w:t xml:space="preserve"> </w:t>
      </w:r>
      <w:r>
        <w:rPr>
          <w:u w:val="thick"/>
        </w:rPr>
        <w:t>Particulars</w:t>
      </w:r>
    </w:p>
    <w:p w:rsidR="00FC7C33" w:rsidRDefault="00FC7C33">
      <w:pPr>
        <w:pStyle w:val="BodyText"/>
        <w:spacing w:before="2"/>
        <w:rPr>
          <w:b/>
          <w:sz w:val="16"/>
        </w:rPr>
      </w:pPr>
    </w:p>
    <w:p w:rsidR="00FC7C33" w:rsidRDefault="00332629">
      <w:pPr>
        <w:pStyle w:val="ListParagraph"/>
        <w:numPr>
          <w:ilvl w:val="0"/>
          <w:numId w:val="2"/>
        </w:numPr>
        <w:tabs>
          <w:tab w:val="left" w:pos="1994"/>
        </w:tabs>
        <w:spacing w:before="90"/>
        <w:ind w:left="1993" w:right="144"/>
        <w:jc w:val="both"/>
        <w:rPr>
          <w:sz w:val="24"/>
        </w:rPr>
      </w:pPr>
      <w:r>
        <w:rPr>
          <w:sz w:val="24"/>
        </w:rPr>
        <w:t>The bidders are necessarily be required to complete fully the schedule of  particulars given in the Bidding document for pipes, fittings, specials</w:t>
      </w:r>
      <w:r w:rsidR="00854EF4">
        <w:rPr>
          <w:sz w:val="24"/>
        </w:rPr>
        <w:t xml:space="preserve"> </w:t>
      </w:r>
      <w:r>
        <w:rPr>
          <w:sz w:val="24"/>
        </w:rPr>
        <w:t>and rubber rings;</w:t>
      </w:r>
    </w:p>
    <w:p w:rsidR="00FC7C33" w:rsidRDefault="00FC7C33">
      <w:pPr>
        <w:pStyle w:val="BodyText"/>
        <w:rPr>
          <w:sz w:val="23"/>
        </w:rPr>
      </w:pPr>
    </w:p>
    <w:p w:rsidR="00FC7C33" w:rsidRDefault="00332629">
      <w:pPr>
        <w:pStyle w:val="ListParagraph"/>
        <w:numPr>
          <w:ilvl w:val="0"/>
          <w:numId w:val="2"/>
        </w:numPr>
        <w:tabs>
          <w:tab w:val="left" w:pos="1588"/>
          <w:tab w:val="left" w:pos="1589"/>
        </w:tabs>
        <w:spacing w:before="114"/>
        <w:ind w:left="1588" w:right="553"/>
        <w:jc w:val="left"/>
        <w:rPr>
          <w:sz w:val="24"/>
        </w:rPr>
      </w:pPr>
      <w:r>
        <w:rPr>
          <w:sz w:val="24"/>
        </w:rPr>
        <w:t>where catalogues, technical literature and drawings accompanying the bid, their references should be quoted in the Schedule of</w:t>
      </w:r>
      <w:r>
        <w:rPr>
          <w:spacing w:val="-4"/>
          <w:sz w:val="24"/>
        </w:rPr>
        <w:t xml:space="preserve"> </w:t>
      </w:r>
      <w:r>
        <w:rPr>
          <w:sz w:val="24"/>
        </w:rPr>
        <w:t>Particulars;</w:t>
      </w:r>
    </w:p>
    <w:p w:rsidR="00FC7C33" w:rsidRDefault="00FC7C33">
      <w:pPr>
        <w:pStyle w:val="BodyText"/>
        <w:rPr>
          <w:sz w:val="26"/>
        </w:rPr>
      </w:pPr>
    </w:p>
    <w:p w:rsidR="00FC7C33" w:rsidRDefault="00FC7C33">
      <w:pPr>
        <w:pStyle w:val="BodyText"/>
        <w:rPr>
          <w:sz w:val="22"/>
        </w:rPr>
      </w:pPr>
    </w:p>
    <w:p w:rsidR="00FC7C33" w:rsidRPr="00746DEF" w:rsidRDefault="00332629" w:rsidP="00746DEF">
      <w:pPr>
        <w:pStyle w:val="Heading1"/>
        <w:numPr>
          <w:ilvl w:val="0"/>
          <w:numId w:val="3"/>
        </w:numPr>
        <w:tabs>
          <w:tab w:val="left" w:pos="1273"/>
        </w:tabs>
        <w:jc w:val="both"/>
        <w:rPr>
          <w:b w:val="0"/>
          <w:bCs w:val="0"/>
          <w:u w:val="none"/>
        </w:rPr>
      </w:pPr>
      <w:r w:rsidRPr="00746DEF">
        <w:rPr>
          <w:b w:val="0"/>
          <w:bCs w:val="0"/>
          <w:u w:val="none"/>
        </w:rPr>
        <w:t>The Bills of Quantities contains metric sized pipes and fittings only.</w:t>
      </w:r>
    </w:p>
    <w:p w:rsidR="00FC7C33" w:rsidRDefault="00FC7C33" w:rsidP="00746DEF">
      <w:pPr>
        <w:pStyle w:val="BodyText"/>
        <w:spacing w:before="11"/>
        <w:jc w:val="both"/>
        <w:rPr>
          <w:sz w:val="23"/>
        </w:rPr>
      </w:pPr>
    </w:p>
    <w:p w:rsidR="00FC7C33" w:rsidRPr="00746DEF" w:rsidRDefault="00332629" w:rsidP="00746DEF">
      <w:pPr>
        <w:pStyle w:val="Heading1"/>
        <w:numPr>
          <w:ilvl w:val="0"/>
          <w:numId w:val="3"/>
        </w:numPr>
        <w:tabs>
          <w:tab w:val="left" w:pos="1273"/>
        </w:tabs>
        <w:jc w:val="both"/>
        <w:rPr>
          <w:b w:val="0"/>
          <w:bCs w:val="0"/>
          <w:u w:val="none"/>
        </w:rPr>
      </w:pPr>
      <w:r w:rsidRPr="00746DEF">
        <w:rPr>
          <w:b w:val="0"/>
          <w:bCs w:val="0"/>
          <w:u w:val="none"/>
        </w:rPr>
        <w:t xml:space="preserve">The bidder shall include in the unit price for </w:t>
      </w:r>
      <w:r w:rsidR="006E5014" w:rsidRPr="006E5014">
        <w:rPr>
          <w:b w:val="0"/>
          <w:bCs w:val="0"/>
          <w:u w:val="none"/>
        </w:rPr>
        <w:t>DI/PE pipes, fittings, specials, accessories, DI valves and DI Manhole Covers</w:t>
      </w:r>
      <w:r w:rsidRPr="006E5014">
        <w:rPr>
          <w:b w:val="0"/>
          <w:bCs w:val="0"/>
          <w:u w:val="none"/>
        </w:rPr>
        <w:t xml:space="preserve"> </w:t>
      </w:r>
      <w:r w:rsidRPr="00746DEF">
        <w:rPr>
          <w:b w:val="0"/>
          <w:bCs w:val="0"/>
          <w:u w:val="none"/>
        </w:rPr>
        <w:t xml:space="preserve">and the cost of all materials required for jointing of pipes, (Rubber rings, lubricant, bolts and nuts and gaskets for flanged fittings etc.) </w:t>
      </w:r>
      <w:r w:rsidRPr="00746DEF">
        <w:t>unless separate items are provided</w:t>
      </w:r>
      <w:r w:rsidRPr="00746DEF">
        <w:rPr>
          <w:b w:val="0"/>
          <w:bCs w:val="0"/>
          <w:u w:val="none"/>
        </w:rPr>
        <w:t>.</w:t>
      </w:r>
    </w:p>
    <w:p w:rsidR="00FC7C33" w:rsidRPr="00746DEF" w:rsidRDefault="00FC7C33" w:rsidP="00746DEF">
      <w:pPr>
        <w:pStyle w:val="Heading1"/>
        <w:tabs>
          <w:tab w:val="left" w:pos="1273"/>
        </w:tabs>
        <w:ind w:firstLine="0"/>
        <w:jc w:val="both"/>
        <w:rPr>
          <w:b w:val="0"/>
          <w:bCs w:val="0"/>
          <w:u w:val="none"/>
        </w:rPr>
      </w:pPr>
    </w:p>
    <w:p w:rsidR="00FC7C33" w:rsidRPr="00746DEF" w:rsidRDefault="00332629" w:rsidP="00746DEF">
      <w:pPr>
        <w:pStyle w:val="Heading1"/>
        <w:numPr>
          <w:ilvl w:val="0"/>
          <w:numId w:val="3"/>
        </w:numPr>
        <w:tabs>
          <w:tab w:val="left" w:pos="1273"/>
        </w:tabs>
        <w:jc w:val="both"/>
        <w:rPr>
          <w:b w:val="0"/>
          <w:bCs w:val="0"/>
          <w:u w:val="none"/>
        </w:rPr>
      </w:pPr>
      <w:r w:rsidRPr="00746DEF">
        <w:rPr>
          <w:b w:val="0"/>
          <w:bCs w:val="0"/>
          <w:u w:val="none"/>
        </w:rPr>
        <w:t>All loose items such as nuts, bolts, washers and rubber rings shall be separately packed in accordance with the relevant sub-section in the Bills of Quantities with a maximum weight of 100 kg.</w:t>
      </w:r>
    </w:p>
    <w:p w:rsidR="00FC7C33" w:rsidRPr="00746DEF" w:rsidRDefault="00FC7C33" w:rsidP="00746DEF">
      <w:pPr>
        <w:pStyle w:val="Heading1"/>
        <w:tabs>
          <w:tab w:val="left" w:pos="1273"/>
        </w:tabs>
        <w:ind w:firstLine="0"/>
        <w:jc w:val="both"/>
        <w:rPr>
          <w:b w:val="0"/>
          <w:bCs w:val="0"/>
          <w:u w:val="none"/>
        </w:rPr>
      </w:pPr>
    </w:p>
    <w:p w:rsidR="00FC7C33" w:rsidRPr="00746DEF" w:rsidRDefault="00332629" w:rsidP="00746DEF">
      <w:pPr>
        <w:pStyle w:val="Heading1"/>
        <w:numPr>
          <w:ilvl w:val="0"/>
          <w:numId w:val="3"/>
        </w:numPr>
        <w:tabs>
          <w:tab w:val="left" w:pos="1273"/>
        </w:tabs>
        <w:jc w:val="both"/>
        <w:rPr>
          <w:b w:val="0"/>
          <w:bCs w:val="0"/>
          <w:u w:val="none"/>
        </w:rPr>
      </w:pPr>
      <w:r w:rsidRPr="00746DEF">
        <w:rPr>
          <w:b w:val="0"/>
          <w:bCs w:val="0"/>
          <w:u w:val="none"/>
        </w:rPr>
        <w:t>The rates and/or prices entered against items in the Bills of quantities shall be</w:t>
      </w:r>
      <w:r w:rsidR="00746DEF" w:rsidRPr="00746DEF">
        <w:rPr>
          <w:b w:val="0"/>
          <w:bCs w:val="0"/>
          <w:u w:val="none"/>
        </w:rPr>
        <w:t xml:space="preserve"> </w:t>
      </w:r>
      <w:r w:rsidRPr="00746DEF">
        <w:rPr>
          <w:b w:val="0"/>
          <w:bCs w:val="0"/>
          <w:u w:val="none"/>
        </w:rPr>
        <w:t>excluding the VAT as the VAT is considered separately.</w:t>
      </w:r>
    </w:p>
    <w:p w:rsidR="00FC7C33" w:rsidRPr="00746DEF" w:rsidRDefault="00FC7C33" w:rsidP="00746DEF">
      <w:pPr>
        <w:pStyle w:val="Heading1"/>
        <w:tabs>
          <w:tab w:val="left" w:pos="1273"/>
        </w:tabs>
        <w:ind w:firstLine="0"/>
        <w:rPr>
          <w:b w:val="0"/>
          <w:bCs w:val="0"/>
          <w:u w:val="none"/>
        </w:rPr>
      </w:pPr>
    </w:p>
    <w:p w:rsidR="00FC7C33" w:rsidRPr="00746DEF" w:rsidRDefault="00FC7C33" w:rsidP="00746DEF">
      <w:pPr>
        <w:pStyle w:val="Heading1"/>
        <w:tabs>
          <w:tab w:val="left" w:pos="1273"/>
        </w:tabs>
        <w:ind w:firstLine="0"/>
        <w:rPr>
          <w:b w:val="0"/>
          <w:bCs w:val="0"/>
          <w:u w:val="none"/>
        </w:rPr>
      </w:pPr>
    </w:p>
    <w:p w:rsidR="00FC7C33" w:rsidRPr="00746DEF" w:rsidRDefault="00FC7C33" w:rsidP="00746DEF">
      <w:pPr>
        <w:pStyle w:val="Heading1"/>
        <w:tabs>
          <w:tab w:val="left" w:pos="1273"/>
        </w:tabs>
        <w:ind w:firstLine="0"/>
        <w:rPr>
          <w:b w:val="0"/>
          <w:bCs w:val="0"/>
          <w:u w:val="none"/>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p w:rsidR="00FC7C33" w:rsidRDefault="00FC7C33">
      <w:pPr>
        <w:pStyle w:val="BodyText"/>
        <w:rPr>
          <w:sz w:val="20"/>
        </w:rPr>
      </w:pPr>
    </w:p>
    <w:sectPr w:rsidR="00FC7C33" w:rsidSect="00854EF4">
      <w:footerReference w:type="default" r:id="rId9"/>
      <w:pgSz w:w="11910" w:h="16840"/>
      <w:pgMar w:top="1580" w:right="860" w:bottom="28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1E" w:rsidRDefault="00D36F1E" w:rsidP="00746DEF">
      <w:r>
        <w:separator/>
      </w:r>
    </w:p>
  </w:endnote>
  <w:endnote w:type="continuationSeparator" w:id="0">
    <w:p w:rsidR="00D36F1E" w:rsidRDefault="00D36F1E" w:rsidP="0074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F4" w:rsidRDefault="00D36F1E" w:rsidP="00746DEF">
    <w:pPr>
      <w:pBdr>
        <w:top w:val="single" w:sz="4" w:space="1" w:color="auto"/>
      </w:pBdr>
      <w:spacing w:line="170" w:lineRule="exact"/>
      <w:ind w:left="554"/>
      <w:rPr>
        <w:sz w:val="1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239.05pt;margin-top:7.45pt;width:42.9pt;height:19.95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54EF4" w:rsidRPr="00746DEF" w:rsidRDefault="00854EF4" w:rsidP="00746DEF">
                <w:pPr>
                  <w:spacing w:before="10"/>
                  <w:ind w:left="20"/>
                  <w:rPr>
                    <w:sz w:val="20"/>
                  </w:rPr>
                </w:pPr>
                <w:r>
                  <w:rPr>
                    <w:sz w:val="20"/>
                  </w:rPr>
                  <w:t>11-c</w:t>
                </w:r>
                <w:r>
                  <w:fldChar w:fldCharType="begin"/>
                </w:r>
                <w:r>
                  <w:rPr>
                    <w:sz w:val="20"/>
                  </w:rPr>
                  <w:instrText xml:space="preserve"> PAGE </w:instrText>
                </w:r>
                <w:r>
                  <w:fldChar w:fldCharType="separate"/>
                </w:r>
                <w:r w:rsidR="00C24F0E">
                  <w:rPr>
                    <w:noProof/>
                    <w:sz w:val="20"/>
                  </w:rPr>
                  <w:t>1</w:t>
                </w:r>
                <w:r>
                  <w:fldChar w:fldCharType="end"/>
                </w:r>
              </w:p>
            </w:txbxContent>
          </v:textbox>
        </v:shape>
      </w:pict>
    </w:r>
    <w:r w:rsidR="00854EF4">
      <w:rPr>
        <w:sz w:val="16"/>
      </w:rPr>
      <w:t>NWSDB/ Preamble Notes for DI/PE Pipes, Fittings,</w:t>
    </w:r>
  </w:p>
  <w:p w:rsidR="00854EF4" w:rsidRDefault="001A2F00" w:rsidP="00746DEF">
    <w:pPr>
      <w:spacing w:line="183" w:lineRule="exact"/>
      <w:ind w:left="554"/>
      <w:rPr>
        <w:sz w:val="16"/>
      </w:rPr>
    </w:pPr>
    <w:r>
      <w:rPr>
        <w:sz w:val="16"/>
      </w:rPr>
      <w:t>Specials, Accessories, DI Valves and manhole Covers</w:t>
    </w:r>
  </w:p>
  <w:p w:rsidR="00854EF4" w:rsidRDefault="00854EF4" w:rsidP="00746DEF">
    <w:pPr>
      <w:pStyle w:val="Footer"/>
    </w:pPr>
    <w:r>
      <w:rPr>
        <w:sz w:val="16"/>
      </w:rPr>
      <w:t xml:space="preserve">              </w:t>
    </w:r>
    <w:proofErr w:type="gramStart"/>
    <w:r>
      <w:rPr>
        <w:sz w:val="16"/>
      </w:rPr>
      <w:t>CAPC :</w:t>
    </w:r>
    <w:proofErr w:type="gramEnd"/>
    <w:r>
      <w:rPr>
        <w:sz w:val="16"/>
      </w:rPr>
      <w:t xml:space="preserve"> MPC : DPC : PPC : RPC –</w:t>
    </w:r>
    <w:r>
      <w:rPr>
        <w:spacing w:val="-10"/>
        <w:sz w:val="16"/>
      </w:rPr>
      <w:t xml:space="preserve"> </w:t>
    </w:r>
    <w:r>
      <w:rPr>
        <w:sz w:val="16"/>
      </w:rPr>
      <w:t>August</w:t>
    </w:r>
    <w:r>
      <w:rPr>
        <w:spacing w:val="-2"/>
        <w:sz w:val="16"/>
      </w:rPr>
      <w:t xml:space="preserve"> </w:t>
    </w:r>
    <w:r>
      <w:rPr>
        <w:sz w:val="16"/>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1E" w:rsidRDefault="00D36F1E" w:rsidP="00746DEF">
      <w:r>
        <w:separator/>
      </w:r>
    </w:p>
  </w:footnote>
  <w:footnote w:type="continuationSeparator" w:id="0">
    <w:p w:rsidR="00D36F1E" w:rsidRDefault="00D36F1E" w:rsidP="00746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E3F14"/>
    <w:multiLevelType w:val="multilevel"/>
    <w:tmpl w:val="E9D2A3B2"/>
    <w:lvl w:ilvl="0">
      <w:start w:val="1"/>
      <w:numFmt w:val="decimal"/>
      <w:lvlText w:val="%1."/>
      <w:lvlJc w:val="left"/>
      <w:pPr>
        <w:ind w:left="1274" w:hanging="720"/>
        <w:jc w:val="left"/>
      </w:pPr>
      <w:rPr>
        <w:rFonts w:ascii="Times New Roman" w:eastAsia="Times New Roman" w:hAnsi="Times New Roman" w:cs="Times New Roman" w:hint="default"/>
        <w:b/>
        <w:bCs/>
        <w:spacing w:val="-2"/>
        <w:w w:val="99"/>
        <w:sz w:val="24"/>
        <w:szCs w:val="24"/>
        <w:lang w:val="en-US" w:eastAsia="en-US" w:bidi="en-US"/>
      </w:rPr>
    </w:lvl>
    <w:lvl w:ilvl="1">
      <w:start w:val="1"/>
      <w:numFmt w:val="decimal"/>
      <w:lvlText w:val="%1.%2"/>
      <w:lvlJc w:val="left"/>
      <w:pPr>
        <w:ind w:left="1994" w:hanging="720"/>
        <w:jc w:val="left"/>
      </w:pPr>
      <w:rPr>
        <w:rFonts w:ascii="Times New Roman" w:eastAsia="Times New Roman" w:hAnsi="Times New Roman" w:cs="Times New Roman" w:hint="default"/>
        <w:spacing w:val="-28"/>
        <w:w w:val="99"/>
        <w:sz w:val="24"/>
        <w:szCs w:val="24"/>
        <w:lang w:val="en-US" w:eastAsia="en-US" w:bidi="en-US"/>
      </w:rPr>
    </w:lvl>
    <w:lvl w:ilvl="2">
      <w:start w:val="1"/>
      <w:numFmt w:val="lowerLetter"/>
      <w:lvlText w:val="%3)"/>
      <w:lvlJc w:val="left"/>
      <w:pPr>
        <w:ind w:left="2714" w:hanging="721"/>
        <w:jc w:val="left"/>
      </w:pPr>
      <w:rPr>
        <w:rFonts w:ascii="Times New Roman" w:eastAsia="Times New Roman" w:hAnsi="Times New Roman" w:cs="Times New Roman" w:hint="default"/>
        <w:spacing w:val="-29"/>
        <w:w w:val="99"/>
        <w:sz w:val="24"/>
        <w:szCs w:val="24"/>
        <w:lang w:val="en-US" w:eastAsia="en-US" w:bidi="en-US"/>
      </w:rPr>
    </w:lvl>
    <w:lvl w:ilvl="3">
      <w:numFmt w:val="bullet"/>
      <w:lvlText w:val="•"/>
      <w:lvlJc w:val="left"/>
      <w:pPr>
        <w:ind w:left="3653" w:hanging="721"/>
      </w:pPr>
      <w:rPr>
        <w:rFonts w:hint="default"/>
        <w:lang w:val="en-US" w:eastAsia="en-US" w:bidi="en-US"/>
      </w:rPr>
    </w:lvl>
    <w:lvl w:ilvl="4">
      <w:numFmt w:val="bullet"/>
      <w:lvlText w:val="•"/>
      <w:lvlJc w:val="left"/>
      <w:pPr>
        <w:ind w:left="4587" w:hanging="721"/>
      </w:pPr>
      <w:rPr>
        <w:rFonts w:hint="default"/>
        <w:lang w:val="en-US" w:eastAsia="en-US" w:bidi="en-US"/>
      </w:rPr>
    </w:lvl>
    <w:lvl w:ilvl="5">
      <w:numFmt w:val="bullet"/>
      <w:lvlText w:val="•"/>
      <w:lvlJc w:val="left"/>
      <w:pPr>
        <w:ind w:left="5520" w:hanging="721"/>
      </w:pPr>
      <w:rPr>
        <w:rFonts w:hint="default"/>
        <w:lang w:val="en-US" w:eastAsia="en-US" w:bidi="en-US"/>
      </w:rPr>
    </w:lvl>
    <w:lvl w:ilvl="6">
      <w:numFmt w:val="bullet"/>
      <w:lvlText w:val="•"/>
      <w:lvlJc w:val="left"/>
      <w:pPr>
        <w:ind w:left="6454" w:hanging="721"/>
      </w:pPr>
      <w:rPr>
        <w:rFonts w:hint="default"/>
        <w:lang w:val="en-US" w:eastAsia="en-US" w:bidi="en-US"/>
      </w:rPr>
    </w:lvl>
    <w:lvl w:ilvl="7">
      <w:numFmt w:val="bullet"/>
      <w:lvlText w:val="•"/>
      <w:lvlJc w:val="left"/>
      <w:pPr>
        <w:ind w:left="7388" w:hanging="721"/>
      </w:pPr>
      <w:rPr>
        <w:rFonts w:hint="default"/>
        <w:lang w:val="en-US" w:eastAsia="en-US" w:bidi="en-US"/>
      </w:rPr>
    </w:lvl>
    <w:lvl w:ilvl="8">
      <w:numFmt w:val="bullet"/>
      <w:lvlText w:val="•"/>
      <w:lvlJc w:val="left"/>
      <w:pPr>
        <w:ind w:left="8321" w:hanging="721"/>
      </w:pPr>
      <w:rPr>
        <w:rFonts w:hint="default"/>
        <w:lang w:val="en-US" w:eastAsia="en-US" w:bidi="en-US"/>
      </w:rPr>
    </w:lvl>
  </w:abstractNum>
  <w:abstractNum w:abstractNumId="1">
    <w:nsid w:val="54C56302"/>
    <w:multiLevelType w:val="hybridMultilevel"/>
    <w:tmpl w:val="13562ED8"/>
    <w:lvl w:ilvl="0" w:tplc="98AEAFD8">
      <w:start w:val="6"/>
      <w:numFmt w:val="decimal"/>
      <w:lvlText w:val="%1."/>
      <w:lvlJc w:val="left"/>
      <w:pPr>
        <w:ind w:left="868" w:hanging="721"/>
        <w:jc w:val="left"/>
      </w:pPr>
      <w:rPr>
        <w:rFonts w:ascii="Times New Roman" w:eastAsia="Times New Roman" w:hAnsi="Times New Roman" w:cs="Times New Roman" w:hint="default"/>
        <w:b/>
        <w:bCs/>
        <w:spacing w:val="-5"/>
        <w:w w:val="99"/>
        <w:sz w:val="24"/>
        <w:szCs w:val="24"/>
        <w:lang w:val="en-US" w:eastAsia="en-US" w:bidi="en-US"/>
      </w:rPr>
    </w:lvl>
    <w:lvl w:ilvl="1" w:tplc="750264CC">
      <w:numFmt w:val="bullet"/>
      <w:lvlText w:val="•"/>
      <w:lvlJc w:val="left"/>
      <w:pPr>
        <w:ind w:left="1792" w:hanging="721"/>
      </w:pPr>
      <w:rPr>
        <w:rFonts w:hint="default"/>
        <w:lang w:val="en-US" w:eastAsia="en-US" w:bidi="en-US"/>
      </w:rPr>
    </w:lvl>
    <w:lvl w:ilvl="2" w:tplc="7C9E209E">
      <w:numFmt w:val="bullet"/>
      <w:lvlText w:val="•"/>
      <w:lvlJc w:val="left"/>
      <w:pPr>
        <w:ind w:left="2725" w:hanging="721"/>
      </w:pPr>
      <w:rPr>
        <w:rFonts w:hint="default"/>
        <w:lang w:val="en-US" w:eastAsia="en-US" w:bidi="en-US"/>
      </w:rPr>
    </w:lvl>
    <w:lvl w:ilvl="3" w:tplc="B1941048">
      <w:numFmt w:val="bullet"/>
      <w:lvlText w:val="•"/>
      <w:lvlJc w:val="left"/>
      <w:pPr>
        <w:ind w:left="3658" w:hanging="721"/>
      </w:pPr>
      <w:rPr>
        <w:rFonts w:hint="default"/>
        <w:lang w:val="en-US" w:eastAsia="en-US" w:bidi="en-US"/>
      </w:rPr>
    </w:lvl>
    <w:lvl w:ilvl="4" w:tplc="DD60540C">
      <w:numFmt w:val="bullet"/>
      <w:lvlText w:val="•"/>
      <w:lvlJc w:val="left"/>
      <w:pPr>
        <w:ind w:left="4591" w:hanging="721"/>
      </w:pPr>
      <w:rPr>
        <w:rFonts w:hint="default"/>
        <w:lang w:val="en-US" w:eastAsia="en-US" w:bidi="en-US"/>
      </w:rPr>
    </w:lvl>
    <w:lvl w:ilvl="5" w:tplc="AAF28B64">
      <w:numFmt w:val="bullet"/>
      <w:lvlText w:val="•"/>
      <w:lvlJc w:val="left"/>
      <w:pPr>
        <w:ind w:left="5524" w:hanging="721"/>
      </w:pPr>
      <w:rPr>
        <w:rFonts w:hint="default"/>
        <w:lang w:val="en-US" w:eastAsia="en-US" w:bidi="en-US"/>
      </w:rPr>
    </w:lvl>
    <w:lvl w:ilvl="6" w:tplc="1F10117C">
      <w:numFmt w:val="bullet"/>
      <w:lvlText w:val="•"/>
      <w:lvlJc w:val="left"/>
      <w:pPr>
        <w:ind w:left="6457" w:hanging="721"/>
      </w:pPr>
      <w:rPr>
        <w:rFonts w:hint="default"/>
        <w:lang w:val="en-US" w:eastAsia="en-US" w:bidi="en-US"/>
      </w:rPr>
    </w:lvl>
    <w:lvl w:ilvl="7" w:tplc="11B01340">
      <w:numFmt w:val="bullet"/>
      <w:lvlText w:val="•"/>
      <w:lvlJc w:val="left"/>
      <w:pPr>
        <w:ind w:left="7390" w:hanging="721"/>
      </w:pPr>
      <w:rPr>
        <w:rFonts w:hint="default"/>
        <w:lang w:val="en-US" w:eastAsia="en-US" w:bidi="en-US"/>
      </w:rPr>
    </w:lvl>
    <w:lvl w:ilvl="8" w:tplc="035AD696">
      <w:numFmt w:val="bullet"/>
      <w:lvlText w:val="•"/>
      <w:lvlJc w:val="left"/>
      <w:pPr>
        <w:ind w:left="8323" w:hanging="721"/>
      </w:pPr>
      <w:rPr>
        <w:rFonts w:hint="default"/>
        <w:lang w:val="en-US" w:eastAsia="en-US" w:bidi="en-US"/>
      </w:rPr>
    </w:lvl>
  </w:abstractNum>
  <w:abstractNum w:abstractNumId="2">
    <w:nsid w:val="57DA1E18"/>
    <w:multiLevelType w:val="multilevel"/>
    <w:tmpl w:val="16A4FC22"/>
    <w:lvl w:ilvl="0">
      <w:start w:val="1"/>
      <w:numFmt w:val="decimal"/>
      <w:lvlText w:val="%1."/>
      <w:lvlJc w:val="left"/>
      <w:pPr>
        <w:ind w:left="820" w:hanging="720"/>
        <w:jc w:val="left"/>
      </w:pPr>
      <w:rPr>
        <w:rFonts w:hint="default"/>
        <w:spacing w:val="-3"/>
        <w:w w:val="100"/>
        <w:lang w:val="en-US" w:eastAsia="en-US" w:bidi="ar-SA"/>
      </w:rPr>
    </w:lvl>
    <w:lvl w:ilvl="1">
      <w:start w:val="1"/>
      <w:numFmt w:val="decimal"/>
      <w:lvlText w:val="%1.%2"/>
      <w:lvlJc w:val="left"/>
      <w:pPr>
        <w:ind w:left="1300" w:hanging="480"/>
        <w:jc w:val="left"/>
      </w:pPr>
      <w:rPr>
        <w:rFonts w:ascii="Times New Roman" w:eastAsia="Times New Roman" w:hAnsi="Times New Roman" w:cs="Times New Roman" w:hint="default"/>
        <w:spacing w:val="-30"/>
        <w:w w:val="99"/>
        <w:sz w:val="24"/>
        <w:szCs w:val="24"/>
        <w:lang w:val="en-US" w:eastAsia="en-US" w:bidi="ar-SA"/>
      </w:rPr>
    </w:lvl>
    <w:lvl w:ilvl="2">
      <w:start w:val="1"/>
      <w:numFmt w:val="lowerLetter"/>
      <w:lvlText w:val="(%3)"/>
      <w:lvlJc w:val="left"/>
      <w:pPr>
        <w:ind w:left="1900" w:hanging="360"/>
        <w:jc w:val="left"/>
      </w:pPr>
      <w:rPr>
        <w:rFonts w:ascii="Times New Roman" w:eastAsia="Times New Roman" w:hAnsi="Times New Roman" w:cs="Times New Roman" w:hint="default"/>
        <w:spacing w:val="-22"/>
        <w:w w:val="99"/>
        <w:sz w:val="24"/>
        <w:szCs w:val="24"/>
        <w:lang w:val="en-US" w:eastAsia="en-US" w:bidi="ar-SA"/>
      </w:rPr>
    </w:lvl>
    <w:lvl w:ilvl="3">
      <w:numFmt w:val="bullet"/>
      <w:lvlText w:val="•"/>
      <w:lvlJc w:val="left"/>
      <w:pPr>
        <w:ind w:left="2860" w:hanging="360"/>
      </w:pPr>
      <w:rPr>
        <w:rFonts w:hint="default"/>
        <w:lang w:val="en-US" w:eastAsia="en-US" w:bidi="ar-SA"/>
      </w:rPr>
    </w:lvl>
    <w:lvl w:ilvl="4">
      <w:numFmt w:val="bullet"/>
      <w:lvlText w:val="•"/>
      <w:lvlJc w:val="left"/>
      <w:pPr>
        <w:ind w:left="3820"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0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3">
    <w:nsid w:val="698F71F9"/>
    <w:multiLevelType w:val="hybridMultilevel"/>
    <w:tmpl w:val="51E4FEF4"/>
    <w:lvl w:ilvl="0" w:tplc="5CC2100A">
      <w:start w:val="1"/>
      <w:numFmt w:val="lowerLetter"/>
      <w:lvlText w:val="%1)"/>
      <w:lvlJc w:val="left"/>
      <w:pPr>
        <w:ind w:left="1994" w:hanging="720"/>
        <w:jc w:val="right"/>
      </w:pPr>
      <w:rPr>
        <w:rFonts w:ascii="Times New Roman" w:eastAsia="Times New Roman" w:hAnsi="Times New Roman" w:cs="Times New Roman" w:hint="default"/>
        <w:spacing w:val="-30"/>
        <w:w w:val="99"/>
        <w:sz w:val="24"/>
        <w:szCs w:val="24"/>
        <w:lang w:val="en-US" w:eastAsia="en-US" w:bidi="en-US"/>
      </w:rPr>
    </w:lvl>
    <w:lvl w:ilvl="1" w:tplc="AEEC136A">
      <w:numFmt w:val="bullet"/>
      <w:lvlText w:val="•"/>
      <w:lvlJc w:val="left"/>
      <w:pPr>
        <w:ind w:left="2818" w:hanging="720"/>
      </w:pPr>
      <w:rPr>
        <w:rFonts w:hint="default"/>
        <w:lang w:val="en-US" w:eastAsia="en-US" w:bidi="en-US"/>
      </w:rPr>
    </w:lvl>
    <w:lvl w:ilvl="2" w:tplc="305A3D12">
      <w:numFmt w:val="bullet"/>
      <w:lvlText w:val="•"/>
      <w:lvlJc w:val="left"/>
      <w:pPr>
        <w:ind w:left="3637" w:hanging="720"/>
      </w:pPr>
      <w:rPr>
        <w:rFonts w:hint="default"/>
        <w:lang w:val="en-US" w:eastAsia="en-US" w:bidi="en-US"/>
      </w:rPr>
    </w:lvl>
    <w:lvl w:ilvl="3" w:tplc="3140B776">
      <w:numFmt w:val="bullet"/>
      <w:lvlText w:val="•"/>
      <w:lvlJc w:val="left"/>
      <w:pPr>
        <w:ind w:left="4456" w:hanging="720"/>
      </w:pPr>
      <w:rPr>
        <w:rFonts w:hint="default"/>
        <w:lang w:val="en-US" w:eastAsia="en-US" w:bidi="en-US"/>
      </w:rPr>
    </w:lvl>
    <w:lvl w:ilvl="4" w:tplc="BC7A2844">
      <w:numFmt w:val="bullet"/>
      <w:lvlText w:val="•"/>
      <w:lvlJc w:val="left"/>
      <w:pPr>
        <w:ind w:left="5275" w:hanging="720"/>
      </w:pPr>
      <w:rPr>
        <w:rFonts w:hint="default"/>
        <w:lang w:val="en-US" w:eastAsia="en-US" w:bidi="en-US"/>
      </w:rPr>
    </w:lvl>
    <w:lvl w:ilvl="5" w:tplc="0AE68EF4">
      <w:numFmt w:val="bullet"/>
      <w:lvlText w:val="•"/>
      <w:lvlJc w:val="left"/>
      <w:pPr>
        <w:ind w:left="6094" w:hanging="720"/>
      </w:pPr>
      <w:rPr>
        <w:rFonts w:hint="default"/>
        <w:lang w:val="en-US" w:eastAsia="en-US" w:bidi="en-US"/>
      </w:rPr>
    </w:lvl>
    <w:lvl w:ilvl="6" w:tplc="8D707194">
      <w:numFmt w:val="bullet"/>
      <w:lvlText w:val="•"/>
      <w:lvlJc w:val="left"/>
      <w:pPr>
        <w:ind w:left="6913" w:hanging="720"/>
      </w:pPr>
      <w:rPr>
        <w:rFonts w:hint="default"/>
        <w:lang w:val="en-US" w:eastAsia="en-US" w:bidi="en-US"/>
      </w:rPr>
    </w:lvl>
    <w:lvl w:ilvl="7" w:tplc="C21A1024">
      <w:numFmt w:val="bullet"/>
      <w:lvlText w:val="•"/>
      <w:lvlJc w:val="left"/>
      <w:pPr>
        <w:ind w:left="7732" w:hanging="720"/>
      </w:pPr>
      <w:rPr>
        <w:rFonts w:hint="default"/>
        <w:lang w:val="en-US" w:eastAsia="en-US" w:bidi="en-US"/>
      </w:rPr>
    </w:lvl>
    <w:lvl w:ilvl="8" w:tplc="97BA40A0">
      <w:numFmt w:val="bullet"/>
      <w:lvlText w:val="•"/>
      <w:lvlJc w:val="left"/>
      <w:pPr>
        <w:ind w:left="8551" w:hanging="720"/>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C7C33"/>
    <w:rsid w:val="001A2F00"/>
    <w:rsid w:val="00332629"/>
    <w:rsid w:val="00427719"/>
    <w:rsid w:val="005C34B5"/>
    <w:rsid w:val="006E5014"/>
    <w:rsid w:val="006F640F"/>
    <w:rsid w:val="00746DEF"/>
    <w:rsid w:val="00757F96"/>
    <w:rsid w:val="00854EF4"/>
    <w:rsid w:val="00A72A6F"/>
    <w:rsid w:val="00C24F0E"/>
    <w:rsid w:val="00D36F1E"/>
    <w:rsid w:val="00FC7C3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74"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714"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6DEF"/>
    <w:pPr>
      <w:tabs>
        <w:tab w:val="center" w:pos="4680"/>
        <w:tab w:val="right" w:pos="9360"/>
      </w:tabs>
    </w:pPr>
  </w:style>
  <w:style w:type="character" w:customStyle="1" w:styleId="HeaderChar">
    <w:name w:val="Header Char"/>
    <w:basedOn w:val="DefaultParagraphFont"/>
    <w:link w:val="Header"/>
    <w:uiPriority w:val="99"/>
    <w:rsid w:val="00746DEF"/>
    <w:rPr>
      <w:rFonts w:ascii="Times New Roman" w:eastAsia="Times New Roman" w:hAnsi="Times New Roman" w:cs="Times New Roman"/>
      <w:lang w:bidi="en-US"/>
    </w:rPr>
  </w:style>
  <w:style w:type="paragraph" w:styleId="Footer">
    <w:name w:val="footer"/>
    <w:basedOn w:val="Normal"/>
    <w:link w:val="FooterChar"/>
    <w:uiPriority w:val="99"/>
    <w:unhideWhenUsed/>
    <w:rsid w:val="00746DEF"/>
    <w:pPr>
      <w:tabs>
        <w:tab w:val="center" w:pos="4680"/>
        <w:tab w:val="right" w:pos="9360"/>
      </w:tabs>
    </w:pPr>
  </w:style>
  <w:style w:type="character" w:customStyle="1" w:styleId="FooterChar">
    <w:name w:val="Footer Char"/>
    <w:basedOn w:val="DefaultParagraphFont"/>
    <w:link w:val="Footer"/>
    <w:uiPriority w:val="99"/>
    <w:rsid w:val="00746DE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46DEF"/>
    <w:rPr>
      <w:rFonts w:ascii="Tahoma" w:hAnsi="Tahoma" w:cs="Tahoma"/>
      <w:sz w:val="16"/>
      <w:szCs w:val="16"/>
    </w:rPr>
  </w:style>
  <w:style w:type="character" w:customStyle="1" w:styleId="BalloonTextChar">
    <w:name w:val="Balloon Text Char"/>
    <w:basedOn w:val="DefaultParagraphFont"/>
    <w:link w:val="BalloonText"/>
    <w:uiPriority w:val="99"/>
    <w:semiHidden/>
    <w:rsid w:val="00746DEF"/>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1388-D36B-4A34-819B-1E49B84F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SBD Works</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cp:lastModifiedBy>admin</cp:lastModifiedBy>
  <cp:revision>12</cp:revision>
  <cp:lastPrinted>2020-07-06T06:32:00Z</cp:lastPrinted>
  <dcterms:created xsi:type="dcterms:W3CDTF">2020-07-06T06:11:00Z</dcterms:created>
  <dcterms:modified xsi:type="dcterms:W3CDTF">2020-07-06T06:33:00Z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2020-07-06T00:00:00Z</vt:filetime>
  </property>
</Properties>
</file>