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44" w:rsidRDefault="00314A44" w:rsidP="00272B64">
      <w:pPr>
        <w:jc w:val="center"/>
        <w:rPr>
          <w:b/>
          <w:sz w:val="40"/>
        </w:rPr>
      </w:pPr>
    </w:p>
    <w:p w:rsidR="00314A44" w:rsidRDefault="00314A44" w:rsidP="00272B64">
      <w:pPr>
        <w:jc w:val="center"/>
        <w:rPr>
          <w:b/>
          <w:sz w:val="40"/>
        </w:rPr>
      </w:pPr>
    </w:p>
    <w:p w:rsidR="00272B64" w:rsidRPr="009E5007" w:rsidRDefault="00272B64" w:rsidP="00272B64">
      <w:pPr>
        <w:jc w:val="center"/>
        <w:rPr>
          <w:b/>
          <w:sz w:val="40"/>
        </w:rPr>
      </w:pPr>
      <w:r>
        <w:rPr>
          <w:b/>
          <w:sz w:val="40"/>
        </w:rPr>
        <w:t>SPECIFICATION FOR BALL VALVES</w:t>
      </w:r>
    </w:p>
    <w:p w:rsidR="00272B64" w:rsidRDefault="00272B64" w:rsidP="00272B64">
      <w:pPr>
        <w:ind w:firstLine="40"/>
        <w:rPr>
          <w:sz w:val="40"/>
        </w:rPr>
      </w:pPr>
    </w:p>
    <w:p w:rsidR="00272B64" w:rsidRDefault="00314A44" w:rsidP="00272B64">
      <w:pPr>
        <w:ind w:firstLine="40"/>
        <w:rPr>
          <w:sz w:val="40"/>
        </w:rPr>
        <w:sectPr w:rsidR="00272B64" w:rsidSect="002D3BFA">
          <w:footerReference w:type="default" r:id="rId8"/>
          <w:pgSz w:w="11907" w:h="16840" w:code="9"/>
          <w:pgMar w:top="1440" w:right="1440" w:bottom="1440" w:left="1440" w:header="720" w:footer="720" w:gutter="0"/>
          <w:paperSrc w:first="15" w:other="15"/>
          <w:pgNumType w:start="3"/>
          <w:cols w:space="720"/>
          <w:vAlign w:val="center"/>
        </w:sectPr>
      </w:pPr>
      <w:bookmarkStart w:id="0" w:name="_GoBack"/>
      <w:bookmarkEnd w:id="0"/>
      <w:r>
        <w:rPr>
          <w:noProof/>
          <w:sz w:val="40"/>
        </w:rPr>
        <w:pict>
          <v:shapetype id="_x0000_t202" coordsize="21600,21600" o:spt="202" path="m,l,21600r21600,l21600,xe">
            <v:stroke joinstyle="miter"/>
            <v:path gradientshapeok="t" o:connecttype="rect"/>
          </v:shapetype>
          <v:shape id="_x0000_s1028" type="#_x0000_t202" style="position:absolute;left:0;text-align:left;margin-left:328.5pt;margin-top:315.45pt;width:132pt;height:27pt;z-index:251660288" stroked="f">
            <v:textbox>
              <w:txbxContent>
                <w:p w:rsidR="00314A44" w:rsidRPr="002E04B4" w:rsidRDefault="00314A44" w:rsidP="00314A44">
                  <w:pPr>
                    <w:rPr>
                      <w:sz w:val="20"/>
                      <w:szCs w:val="20"/>
                    </w:rPr>
                  </w:pPr>
                  <w:r>
                    <w:rPr>
                      <w:sz w:val="20"/>
                      <w:szCs w:val="20"/>
                    </w:rPr>
                    <w:t>Revised on 02-09-2017</w:t>
                  </w:r>
                </w:p>
              </w:txbxContent>
            </v:textbox>
          </v:shape>
        </w:pict>
      </w:r>
    </w:p>
    <w:p w:rsidR="00272B64" w:rsidRDefault="00272B64" w:rsidP="00272B64">
      <w:pPr>
        <w:pStyle w:val="Title"/>
        <w:rPr>
          <w:b/>
          <w:bCs/>
          <w:color w:val="000000"/>
          <w:u w:val="none"/>
          <w:lang w:val="en-GB"/>
        </w:rPr>
      </w:pPr>
      <w:r w:rsidRPr="00CA56C5">
        <w:rPr>
          <w:b/>
          <w:bCs/>
          <w:color w:val="000000"/>
          <w:u w:val="none"/>
          <w:lang w:val="en-GB"/>
        </w:rPr>
        <w:lastRenderedPageBreak/>
        <w:t>TABLE OF CONTENTS</w:t>
      </w:r>
    </w:p>
    <w:p w:rsidR="00272B64" w:rsidRPr="00CA56C5" w:rsidRDefault="00272B64" w:rsidP="00272B64">
      <w:pPr>
        <w:pStyle w:val="Title"/>
        <w:rPr>
          <w:b/>
          <w:bCs/>
          <w:color w:val="000000"/>
          <w:u w:val="none"/>
          <w:lang w:val="en-GB"/>
        </w:rPr>
      </w:pPr>
    </w:p>
    <w:p w:rsidR="00272B64" w:rsidRPr="008B715A" w:rsidRDefault="00272B64" w:rsidP="00272B64">
      <w:pPr>
        <w:pStyle w:val="Title"/>
        <w:rPr>
          <w:b/>
          <w:bCs/>
          <w:color w:val="000000"/>
          <w:sz w:val="6"/>
          <w:szCs w:val="6"/>
          <w:u w:val="none"/>
          <w:lang w:val="en-GB"/>
        </w:rPr>
      </w:pPr>
    </w:p>
    <w:tbl>
      <w:tblPr>
        <w:tblW w:w="0" w:type="auto"/>
        <w:tblLayout w:type="fixed"/>
        <w:tblLook w:val="0000" w:firstRow="0" w:lastRow="0" w:firstColumn="0" w:lastColumn="0" w:noHBand="0" w:noVBand="0"/>
      </w:tblPr>
      <w:tblGrid>
        <w:gridCol w:w="1195"/>
        <w:gridCol w:w="6480"/>
        <w:gridCol w:w="1433"/>
      </w:tblGrid>
      <w:tr w:rsidR="00272B64" w:rsidTr="003141DE">
        <w:trPr>
          <w:trHeight w:val="519"/>
        </w:trPr>
        <w:tc>
          <w:tcPr>
            <w:tcW w:w="1195" w:type="dxa"/>
          </w:tcPr>
          <w:p w:rsidR="00272B64" w:rsidRDefault="00272B64" w:rsidP="00F042EE">
            <w:pPr>
              <w:tabs>
                <w:tab w:val="left" w:pos="720"/>
                <w:tab w:val="left" w:pos="1440"/>
                <w:tab w:val="right" w:pos="9360"/>
              </w:tabs>
              <w:suppressAutoHyphens/>
              <w:spacing w:line="360" w:lineRule="auto"/>
              <w:jc w:val="both"/>
              <w:rPr>
                <w:color w:val="000000"/>
                <w:spacing w:val="-3"/>
                <w:lang w:val="en-GB"/>
              </w:rPr>
            </w:pPr>
            <w:r>
              <w:rPr>
                <w:color w:val="000000"/>
                <w:spacing w:val="-3"/>
                <w:lang w:val="en-GB"/>
              </w:rPr>
              <w:t>1</w:t>
            </w:r>
          </w:p>
        </w:tc>
        <w:tc>
          <w:tcPr>
            <w:tcW w:w="6480" w:type="dxa"/>
          </w:tcPr>
          <w:p w:rsidR="00272B64" w:rsidRPr="00272B64" w:rsidRDefault="00272B64" w:rsidP="003141DE">
            <w:pPr>
              <w:tabs>
                <w:tab w:val="left" w:pos="720"/>
                <w:tab w:val="left" w:pos="1440"/>
                <w:tab w:val="right" w:pos="9360"/>
              </w:tabs>
              <w:suppressAutoHyphens/>
              <w:spacing w:line="360" w:lineRule="auto"/>
              <w:jc w:val="both"/>
              <w:rPr>
                <w:color w:val="000000"/>
                <w:spacing w:val="-3"/>
                <w:lang w:val="en-GB"/>
              </w:rPr>
            </w:pPr>
            <w:r w:rsidRPr="00272B64">
              <w:rPr>
                <w:color w:val="000000"/>
                <w:spacing w:val="-3"/>
                <w:lang w:val="en-GB"/>
              </w:rPr>
              <w:t xml:space="preserve">General </w:t>
            </w:r>
          </w:p>
        </w:tc>
        <w:tc>
          <w:tcPr>
            <w:tcW w:w="1433" w:type="dxa"/>
          </w:tcPr>
          <w:p w:rsidR="00272B64" w:rsidRDefault="00272B64" w:rsidP="00272B64">
            <w:pPr>
              <w:spacing w:line="360" w:lineRule="auto"/>
              <w:jc w:val="center"/>
              <w:rPr>
                <w:color w:val="000000"/>
                <w:lang w:val="en-GB"/>
              </w:rPr>
            </w:pPr>
            <w:r>
              <w:rPr>
                <w:color w:val="000000"/>
                <w:spacing w:val="-3"/>
                <w:lang w:val="en-GB"/>
              </w:rPr>
              <w:t>6p – 2</w:t>
            </w:r>
            <w:r w:rsidR="00DE6475">
              <w:rPr>
                <w:color w:val="000000"/>
                <w:spacing w:val="-3"/>
                <w:lang w:val="en-GB"/>
              </w:rPr>
              <w:t xml:space="preserve">  6p-3</w:t>
            </w:r>
          </w:p>
        </w:tc>
      </w:tr>
      <w:tr w:rsidR="00272B64" w:rsidTr="003141DE">
        <w:trPr>
          <w:trHeight w:val="288"/>
        </w:trPr>
        <w:tc>
          <w:tcPr>
            <w:tcW w:w="1195" w:type="dxa"/>
          </w:tcPr>
          <w:p w:rsidR="00272B64" w:rsidRDefault="00272B64" w:rsidP="00F042EE">
            <w:pPr>
              <w:tabs>
                <w:tab w:val="left" w:pos="720"/>
                <w:tab w:val="left" w:pos="1440"/>
                <w:tab w:val="right" w:pos="9360"/>
              </w:tabs>
              <w:suppressAutoHyphens/>
              <w:spacing w:line="360" w:lineRule="auto"/>
              <w:jc w:val="both"/>
              <w:rPr>
                <w:color w:val="000000"/>
                <w:spacing w:val="-3"/>
                <w:lang w:val="en-GB"/>
              </w:rPr>
            </w:pPr>
            <w:r>
              <w:rPr>
                <w:color w:val="000000"/>
                <w:spacing w:val="-3"/>
                <w:lang w:val="en-GB"/>
              </w:rPr>
              <w:t>2</w:t>
            </w:r>
          </w:p>
        </w:tc>
        <w:tc>
          <w:tcPr>
            <w:tcW w:w="6480" w:type="dxa"/>
          </w:tcPr>
          <w:p w:rsidR="00272B64" w:rsidRPr="00272B64" w:rsidRDefault="00272B64" w:rsidP="003141DE">
            <w:pPr>
              <w:spacing w:line="360" w:lineRule="auto"/>
            </w:pPr>
            <w:r>
              <w:rPr>
                <w:sz w:val="22"/>
                <w:szCs w:val="22"/>
              </w:rPr>
              <w:t>Specification</w:t>
            </w:r>
          </w:p>
        </w:tc>
        <w:tc>
          <w:tcPr>
            <w:tcW w:w="1433" w:type="dxa"/>
          </w:tcPr>
          <w:p w:rsidR="00272B64" w:rsidRDefault="00272B64" w:rsidP="00F042EE">
            <w:pPr>
              <w:spacing w:line="360" w:lineRule="auto"/>
              <w:jc w:val="center"/>
              <w:rPr>
                <w:color w:val="000000"/>
                <w:lang w:val="en-GB"/>
              </w:rPr>
            </w:pPr>
            <w:r>
              <w:rPr>
                <w:color w:val="000000"/>
                <w:spacing w:val="-3"/>
                <w:lang w:val="en-GB"/>
              </w:rPr>
              <w:t>6p – 3</w:t>
            </w:r>
            <w:r w:rsidR="00DE6475">
              <w:rPr>
                <w:color w:val="000000"/>
                <w:spacing w:val="-3"/>
                <w:lang w:val="en-GB"/>
              </w:rPr>
              <w:t xml:space="preserve">  6p-7</w:t>
            </w:r>
          </w:p>
        </w:tc>
      </w:tr>
    </w:tbl>
    <w:p w:rsidR="00272B64" w:rsidRDefault="00272B64" w:rsidP="00272B64">
      <w:pPr>
        <w:tabs>
          <w:tab w:val="left" w:pos="-720"/>
          <w:tab w:val="left" w:pos="0"/>
        </w:tabs>
        <w:suppressAutoHyphens/>
        <w:ind w:left="720" w:hanging="720"/>
        <w:jc w:val="center"/>
        <w:rPr>
          <w:b/>
          <w:bCs/>
          <w:color w:val="000000"/>
          <w:spacing w:val="-3"/>
          <w:sz w:val="28"/>
          <w:lang w:val="en-GB"/>
        </w:rPr>
      </w:pPr>
    </w:p>
    <w:p w:rsidR="00272B64" w:rsidRDefault="00272B64" w:rsidP="00272B64">
      <w:pPr>
        <w:spacing w:after="200" w:line="276" w:lineRule="auto"/>
        <w:rPr>
          <w:b/>
          <w:u w:val="single"/>
        </w:rPr>
      </w:pPr>
      <w:r>
        <w:rPr>
          <w:b/>
          <w:bCs/>
          <w:color w:val="000000"/>
          <w:spacing w:val="-3"/>
          <w:sz w:val="28"/>
          <w:lang w:val="en-GB"/>
        </w:rPr>
        <w:br w:type="page"/>
      </w:r>
    </w:p>
    <w:p w:rsidR="00272B64" w:rsidRDefault="00272B64" w:rsidP="00272B64">
      <w:pPr>
        <w:jc w:val="center"/>
        <w:rPr>
          <w:b/>
          <w:u w:val="single"/>
        </w:rPr>
      </w:pPr>
      <w:r w:rsidRPr="009E5007">
        <w:rPr>
          <w:b/>
          <w:u w:val="single"/>
        </w:rPr>
        <w:t xml:space="preserve">SPECIFICATION FOR </w:t>
      </w:r>
      <w:proofErr w:type="spellStart"/>
      <w:r w:rsidRPr="009E5007">
        <w:rPr>
          <w:b/>
          <w:u w:val="single"/>
        </w:rPr>
        <w:t>uPVC</w:t>
      </w:r>
      <w:proofErr w:type="spellEnd"/>
      <w:r w:rsidRPr="009E5007">
        <w:rPr>
          <w:b/>
          <w:u w:val="single"/>
        </w:rPr>
        <w:t xml:space="preserve"> BALL VALVES</w:t>
      </w:r>
    </w:p>
    <w:p w:rsidR="00272B64" w:rsidRPr="00277B32" w:rsidRDefault="00272B64" w:rsidP="00272B64">
      <w:pPr>
        <w:jc w:val="center"/>
        <w:rPr>
          <w:b/>
          <w:u w:val="single"/>
        </w:rPr>
      </w:pPr>
    </w:p>
    <w:p w:rsidR="00272B64" w:rsidRPr="00277B32" w:rsidRDefault="00272B64" w:rsidP="00272B64">
      <w:pPr>
        <w:rPr>
          <w:b/>
          <w:u w:val="single"/>
        </w:rPr>
      </w:pPr>
    </w:p>
    <w:p w:rsidR="00272B64" w:rsidRPr="00277B32" w:rsidRDefault="00272B64" w:rsidP="00272B64">
      <w:pPr>
        <w:numPr>
          <w:ilvl w:val="0"/>
          <w:numId w:val="2"/>
        </w:numPr>
        <w:rPr>
          <w:b/>
          <w:u w:val="single"/>
        </w:rPr>
      </w:pPr>
      <w:r w:rsidRPr="00277B32">
        <w:rPr>
          <w:b/>
          <w:u w:val="single"/>
        </w:rPr>
        <w:t>General</w:t>
      </w:r>
    </w:p>
    <w:p w:rsidR="00272B64" w:rsidRPr="00277B32" w:rsidRDefault="00272B64" w:rsidP="00272B64">
      <w:pPr>
        <w:rPr>
          <w:b/>
          <w:u w:val="single"/>
        </w:rPr>
      </w:pPr>
    </w:p>
    <w:p w:rsidR="00272B64" w:rsidRPr="00277B32" w:rsidRDefault="00272B64" w:rsidP="00272B64">
      <w:pPr>
        <w:spacing w:before="100" w:beforeAutospacing="1" w:after="100" w:afterAutospacing="1"/>
        <w:ind w:left="720"/>
        <w:jc w:val="both"/>
      </w:pPr>
      <w:r w:rsidRPr="00277B32">
        <w:t xml:space="preserve">A </w:t>
      </w:r>
      <w:r w:rsidRPr="00277B32">
        <w:rPr>
          <w:b/>
          <w:bCs/>
        </w:rPr>
        <w:t>ball valve</w:t>
      </w:r>
      <w:r w:rsidRPr="00277B32">
        <w:t xml:space="preserve"> is a valve that opens by turning a handle attached to a ball inside the valve. The ball has a hole, or port, through the middle so that when the port is in line with both ends of the valve, flow will occur (valve is in open position). When the valve is closed, the hole is perpendicular to the ends of the valve, and flow is blocked. The handle or lever will be </w:t>
      </w:r>
      <w:proofErr w:type="spellStart"/>
      <w:r w:rsidRPr="00277B32">
        <w:t>inline</w:t>
      </w:r>
      <w:proofErr w:type="spellEnd"/>
      <w:r w:rsidRPr="00277B32">
        <w:t xml:space="preserve"> with the port position letting you "see" the open position of the valve. </w:t>
      </w:r>
    </w:p>
    <w:p w:rsidR="00272B64" w:rsidRPr="002F74EF" w:rsidRDefault="00272B64" w:rsidP="00272B64">
      <w:pPr>
        <w:spacing w:before="100" w:beforeAutospacing="1" w:after="100" w:afterAutospacing="1"/>
        <w:ind w:left="720"/>
      </w:pPr>
      <w:r>
        <w:object w:dxaOrig="13950"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19.75pt" o:ole="">
            <v:imagedata r:id="rId9" o:title=""/>
          </v:shape>
          <o:OLEObject Type="Embed" ProgID="AutoCAD.Drawing.17" ShapeID="_x0000_i1025" DrawAspect="Content" ObjectID="_1568790928" r:id="rId10"/>
        </w:object>
      </w:r>
      <w:r>
        <w:rPr>
          <w:noProof/>
        </w:rPr>
        <w:drawing>
          <wp:inline distT="0" distB="0" distL="0" distR="0">
            <wp:extent cx="53721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819150"/>
                    </a:xfrm>
                    <a:prstGeom prst="rect">
                      <a:avLst/>
                    </a:prstGeom>
                    <a:noFill/>
                    <a:ln>
                      <a:noFill/>
                    </a:ln>
                  </pic:spPr>
                </pic:pic>
              </a:graphicData>
            </a:graphic>
          </wp:inline>
        </w:drawing>
      </w:r>
    </w:p>
    <w:p w:rsidR="00272B64" w:rsidRPr="00277B32" w:rsidRDefault="00272B64" w:rsidP="00272B64"/>
    <w:p w:rsidR="00272B64" w:rsidRPr="00277B32" w:rsidRDefault="00272B64" w:rsidP="00272B64"/>
    <w:p w:rsidR="00272B64" w:rsidRPr="00277B32" w:rsidRDefault="00272B64" w:rsidP="00272B64"/>
    <w:p w:rsidR="00272B64" w:rsidRPr="00277B32" w:rsidRDefault="00272B64" w:rsidP="00272B64">
      <w:pPr>
        <w:numPr>
          <w:ilvl w:val="1"/>
          <w:numId w:val="2"/>
        </w:numPr>
        <w:jc w:val="both"/>
      </w:pPr>
      <w:r w:rsidRPr="00277B32">
        <w:t>Ball valves shall comprise of a body on which head cap, handle, stem &amp; ball assembly etc. with seat &amp; stem O-ring mounted.</w:t>
      </w:r>
    </w:p>
    <w:p w:rsidR="00272B64" w:rsidRPr="00277B32" w:rsidRDefault="00272B64" w:rsidP="00272B64"/>
    <w:p w:rsidR="00272B64" w:rsidRPr="00277B32" w:rsidRDefault="00272B64" w:rsidP="00272B64">
      <w:pPr>
        <w:numPr>
          <w:ilvl w:val="1"/>
          <w:numId w:val="2"/>
        </w:numPr>
        <w:jc w:val="both"/>
      </w:pPr>
      <w:r w:rsidRPr="00277B32">
        <w:t>Ball valves shall provide leak free tight closure (complete– stop) of water flow through the valve in the closed position.</w:t>
      </w:r>
    </w:p>
    <w:p w:rsidR="00272B64" w:rsidRPr="00277B32" w:rsidRDefault="00272B64" w:rsidP="00272B64">
      <w:pPr>
        <w:ind w:left="720"/>
      </w:pPr>
    </w:p>
    <w:p w:rsidR="00272B64" w:rsidRPr="00277B32" w:rsidRDefault="00272B64" w:rsidP="00272B64">
      <w:pPr>
        <w:numPr>
          <w:ilvl w:val="1"/>
          <w:numId w:val="2"/>
        </w:numPr>
        <w:jc w:val="both"/>
      </w:pPr>
      <w:r w:rsidRPr="00277B32">
        <w:t>During operation seat &amp; stem &amp; ball assembly is moved causing the water to flowing through the valve.</w:t>
      </w:r>
    </w:p>
    <w:p w:rsidR="00272B64" w:rsidRPr="00277B32" w:rsidRDefault="00272B64" w:rsidP="00272B64">
      <w:pPr>
        <w:ind w:left="720"/>
      </w:pPr>
    </w:p>
    <w:p w:rsidR="00272B64" w:rsidRPr="00277B32" w:rsidRDefault="00272B64" w:rsidP="00272B64">
      <w:pPr>
        <w:numPr>
          <w:ilvl w:val="1"/>
          <w:numId w:val="2"/>
        </w:numPr>
        <w:jc w:val="both"/>
      </w:pPr>
      <w:r w:rsidRPr="00277B32">
        <w:t>All components shall be of “water works” standard and shall be of a well proven robust design and manufacture and shall be suitable for drinking water.</w:t>
      </w:r>
    </w:p>
    <w:p w:rsidR="00272B64" w:rsidRPr="00277B32" w:rsidRDefault="00272B64" w:rsidP="00272B64">
      <w:pPr>
        <w:jc w:val="both"/>
      </w:pPr>
    </w:p>
    <w:p w:rsidR="00272B64" w:rsidRPr="00277B32" w:rsidRDefault="00272B64" w:rsidP="00272B64">
      <w:pPr>
        <w:numPr>
          <w:ilvl w:val="1"/>
          <w:numId w:val="2"/>
        </w:numPr>
        <w:jc w:val="both"/>
      </w:pPr>
      <w:r w:rsidRPr="00277B32">
        <w:t>All non-metallic materials shall be listed in current “water fittings and materials directory” and shall be suitable for drinking water.</w:t>
      </w:r>
    </w:p>
    <w:p w:rsidR="00272B64" w:rsidRPr="00277B32" w:rsidRDefault="00272B64" w:rsidP="00272B64">
      <w:pPr>
        <w:jc w:val="both"/>
      </w:pPr>
    </w:p>
    <w:p w:rsidR="00272B64" w:rsidRPr="00277B32" w:rsidRDefault="00272B64" w:rsidP="00272B64"/>
    <w:p w:rsidR="00272B64" w:rsidRPr="00277B32" w:rsidRDefault="00272B64" w:rsidP="00272B64">
      <w:pPr>
        <w:numPr>
          <w:ilvl w:val="0"/>
          <w:numId w:val="2"/>
        </w:numPr>
        <w:rPr>
          <w:b/>
          <w:u w:val="single"/>
        </w:rPr>
      </w:pPr>
      <w:r w:rsidRPr="00277B32">
        <w:rPr>
          <w:b/>
          <w:u w:val="single"/>
        </w:rPr>
        <w:t>Specification</w:t>
      </w:r>
    </w:p>
    <w:p w:rsidR="00272B64" w:rsidRPr="00277B32" w:rsidRDefault="00272B64" w:rsidP="00272B64"/>
    <w:p w:rsidR="00272B64" w:rsidRPr="00277B32" w:rsidRDefault="00272B64" w:rsidP="00272B64">
      <w:pPr>
        <w:tabs>
          <w:tab w:val="left" w:pos="1440"/>
        </w:tabs>
        <w:ind w:firstLine="720"/>
      </w:pPr>
      <w:r w:rsidRPr="00277B32">
        <w:rPr>
          <w:b/>
        </w:rPr>
        <w:t>2.1</w:t>
      </w:r>
      <w:r w:rsidRPr="00277B32">
        <w:rPr>
          <w:b/>
        </w:rPr>
        <w:tab/>
        <w:t>General</w:t>
      </w:r>
    </w:p>
    <w:p w:rsidR="00272B64" w:rsidRPr="00277B32" w:rsidRDefault="00272B64" w:rsidP="00272B64">
      <w:pPr>
        <w:tabs>
          <w:tab w:val="left" w:pos="3060"/>
        </w:tabs>
        <w:ind w:left="3060" w:hanging="2340"/>
        <w:jc w:val="both"/>
      </w:pPr>
    </w:p>
    <w:p w:rsidR="00272B64" w:rsidRPr="00277B32" w:rsidRDefault="00272B64" w:rsidP="00272B64">
      <w:pPr>
        <w:numPr>
          <w:ilvl w:val="0"/>
          <w:numId w:val="4"/>
        </w:numPr>
        <w:tabs>
          <w:tab w:val="left" w:pos="1800"/>
        </w:tabs>
        <w:ind w:hanging="2340"/>
        <w:jc w:val="both"/>
      </w:pPr>
      <w:r w:rsidRPr="00277B32">
        <w:t xml:space="preserve">Body parts shall be </w:t>
      </w:r>
      <w:proofErr w:type="spellStart"/>
      <w:r w:rsidRPr="00277B32">
        <w:t>uPVC</w:t>
      </w:r>
      <w:proofErr w:type="spellEnd"/>
      <w:r w:rsidRPr="00277B32">
        <w:t>&amp; shall conform to EN 1452-1</w:t>
      </w:r>
    </w:p>
    <w:p w:rsidR="00272B64" w:rsidRPr="00277B32" w:rsidRDefault="00272B64" w:rsidP="00272B64">
      <w:pPr>
        <w:tabs>
          <w:tab w:val="left" w:pos="3060"/>
        </w:tabs>
        <w:ind w:left="2520"/>
        <w:jc w:val="both"/>
      </w:pPr>
    </w:p>
    <w:p w:rsidR="00272B64" w:rsidRPr="00277B32" w:rsidRDefault="00272B64" w:rsidP="00272B64">
      <w:pPr>
        <w:numPr>
          <w:ilvl w:val="0"/>
          <w:numId w:val="4"/>
        </w:numPr>
        <w:tabs>
          <w:tab w:val="left" w:pos="1800"/>
        </w:tabs>
        <w:ind w:hanging="2340"/>
        <w:jc w:val="both"/>
        <w:rPr>
          <w:b/>
        </w:rPr>
      </w:pPr>
      <w:r w:rsidRPr="00277B32">
        <w:rPr>
          <w:b/>
        </w:rPr>
        <w:t xml:space="preserve">Appearance </w:t>
      </w:r>
    </w:p>
    <w:p w:rsidR="00272B64" w:rsidRPr="00277B32" w:rsidRDefault="00272B64" w:rsidP="00272B64">
      <w:pPr>
        <w:tabs>
          <w:tab w:val="left" w:pos="2160"/>
        </w:tabs>
        <w:ind w:left="2200" w:hanging="2200"/>
        <w:jc w:val="both"/>
      </w:pPr>
      <w:r w:rsidRPr="00277B32">
        <w:tab/>
        <w:t xml:space="preserve">When viewed without magnification, the internal and external </w:t>
      </w:r>
      <w:r w:rsidRPr="00277B32">
        <w:tab/>
        <w:t xml:space="preserve">surfaces of valves and ancillaries shall be smooth, clean and free </w:t>
      </w:r>
      <w:r w:rsidRPr="00277B32">
        <w:tab/>
        <w:t xml:space="preserve">from scoring, cavities and other surface defects to an extent that </w:t>
      </w:r>
      <w:r w:rsidRPr="00277B32">
        <w:tab/>
        <w:t>would prevent conformity to this standard. Each end shall be square to its axis.</w:t>
      </w:r>
    </w:p>
    <w:p w:rsidR="00272B64" w:rsidRPr="00277B32" w:rsidRDefault="00272B64" w:rsidP="00272B64">
      <w:pPr>
        <w:tabs>
          <w:tab w:val="left" w:pos="3060"/>
        </w:tabs>
        <w:ind w:left="2520"/>
        <w:jc w:val="both"/>
      </w:pPr>
    </w:p>
    <w:p w:rsidR="00272B64" w:rsidRPr="00277B32" w:rsidRDefault="00272B64" w:rsidP="00272B64">
      <w:pPr>
        <w:numPr>
          <w:ilvl w:val="0"/>
          <w:numId w:val="4"/>
        </w:numPr>
        <w:tabs>
          <w:tab w:val="clear" w:pos="3780"/>
          <w:tab w:val="left" w:pos="1800"/>
        </w:tabs>
        <w:ind w:left="3060" w:hanging="1620"/>
        <w:jc w:val="both"/>
        <w:rPr>
          <w:b/>
        </w:rPr>
      </w:pPr>
      <w:proofErr w:type="spellStart"/>
      <w:r w:rsidRPr="00277B32">
        <w:rPr>
          <w:b/>
        </w:rPr>
        <w:t>Colour</w:t>
      </w:r>
      <w:proofErr w:type="spellEnd"/>
    </w:p>
    <w:p w:rsidR="00272B64" w:rsidRPr="00277B32" w:rsidRDefault="00272B64" w:rsidP="00272B64">
      <w:pPr>
        <w:tabs>
          <w:tab w:val="left" w:pos="2160"/>
        </w:tabs>
        <w:ind w:left="2200" w:hanging="2200"/>
        <w:jc w:val="both"/>
      </w:pPr>
      <w:r w:rsidRPr="00277B32">
        <w:tab/>
        <w:t xml:space="preserve">The </w:t>
      </w:r>
      <w:proofErr w:type="spellStart"/>
      <w:r w:rsidRPr="00277B32">
        <w:t>colour</w:t>
      </w:r>
      <w:proofErr w:type="spellEnd"/>
      <w:r w:rsidRPr="00277B32">
        <w:t xml:space="preserve"> of injection- </w:t>
      </w:r>
      <w:proofErr w:type="spellStart"/>
      <w:r w:rsidRPr="00277B32">
        <w:t>moulded</w:t>
      </w:r>
      <w:proofErr w:type="spellEnd"/>
      <w:r w:rsidRPr="00277B32">
        <w:t xml:space="preserve"> valve bodies and ancillaries in PVC-U shall be grey throughout the wall. The </w:t>
      </w:r>
      <w:proofErr w:type="spellStart"/>
      <w:r w:rsidRPr="00277B32">
        <w:t>colour</w:t>
      </w:r>
      <w:proofErr w:type="spellEnd"/>
      <w:r w:rsidRPr="00277B32">
        <w:t xml:space="preserve"> of ancillaries made from pipe shall be grey, blue or cream throughout the wall. For above-ground application, cream ancillaries shall not be used.</w:t>
      </w:r>
    </w:p>
    <w:p w:rsidR="00272B64" w:rsidRPr="00277B32" w:rsidRDefault="00272B64" w:rsidP="00272B64">
      <w:pPr>
        <w:tabs>
          <w:tab w:val="left" w:pos="3060"/>
        </w:tabs>
        <w:ind w:left="3420"/>
        <w:jc w:val="both"/>
      </w:pPr>
    </w:p>
    <w:p w:rsidR="00272B64" w:rsidRPr="00277B32" w:rsidRDefault="00272B64" w:rsidP="00272B64">
      <w:pPr>
        <w:numPr>
          <w:ilvl w:val="0"/>
          <w:numId w:val="4"/>
        </w:numPr>
        <w:tabs>
          <w:tab w:val="clear" w:pos="3780"/>
          <w:tab w:val="left" w:pos="1800"/>
        </w:tabs>
        <w:ind w:left="3060" w:hanging="1620"/>
        <w:jc w:val="both"/>
        <w:rPr>
          <w:b/>
        </w:rPr>
      </w:pPr>
      <w:r w:rsidRPr="00277B32">
        <w:rPr>
          <w:b/>
        </w:rPr>
        <w:t>Opacity</w:t>
      </w:r>
    </w:p>
    <w:p w:rsidR="00272B64" w:rsidRPr="00277B32" w:rsidRDefault="00272B64" w:rsidP="00272B64">
      <w:pPr>
        <w:tabs>
          <w:tab w:val="left" w:pos="2160"/>
        </w:tabs>
        <w:ind w:left="2160"/>
        <w:jc w:val="both"/>
      </w:pPr>
      <w:r w:rsidRPr="00277B32">
        <w:t>The wall of the valve shall be opaque and shall not transmit more than 0.2% of visible light when measured in accordance with EN 578. This requirement does not apply to cream ancillaries</w:t>
      </w:r>
    </w:p>
    <w:p w:rsidR="00272B64" w:rsidRPr="00277B32" w:rsidRDefault="00272B64" w:rsidP="00272B64">
      <w:pPr>
        <w:tabs>
          <w:tab w:val="left" w:pos="3060"/>
        </w:tabs>
        <w:ind w:left="3060"/>
        <w:jc w:val="both"/>
      </w:pPr>
    </w:p>
    <w:p w:rsidR="00272B64" w:rsidRPr="00277B32" w:rsidRDefault="00272B64" w:rsidP="00272B64">
      <w:pPr>
        <w:numPr>
          <w:ilvl w:val="0"/>
          <w:numId w:val="4"/>
        </w:numPr>
        <w:tabs>
          <w:tab w:val="clear" w:pos="3780"/>
          <w:tab w:val="left" w:pos="1800"/>
        </w:tabs>
        <w:ind w:left="3060" w:hanging="1620"/>
        <w:jc w:val="both"/>
        <w:rPr>
          <w:b/>
        </w:rPr>
      </w:pPr>
      <w:r w:rsidRPr="00277B32">
        <w:rPr>
          <w:b/>
        </w:rPr>
        <w:t xml:space="preserve">Nominal dimensions </w:t>
      </w:r>
    </w:p>
    <w:p w:rsidR="00272B64" w:rsidRPr="00277B32" w:rsidRDefault="00272B64" w:rsidP="00272B64">
      <w:pPr>
        <w:tabs>
          <w:tab w:val="left" w:pos="2160"/>
        </w:tabs>
        <w:ind w:left="2200" w:hanging="2200"/>
        <w:jc w:val="both"/>
      </w:pPr>
      <w:r w:rsidRPr="00277B32">
        <w:tab/>
        <w:t xml:space="preserve">The nominal diameter(s), of a valve and ancillaries shall correspond to, and be designated by, the nominal outside </w:t>
      </w:r>
      <w:r w:rsidRPr="00277B32">
        <w:tab/>
        <w:t xml:space="preserve">diameter(s) of the pipe(s) for which they are designed. </w:t>
      </w:r>
    </w:p>
    <w:p w:rsidR="00272B64" w:rsidRPr="00277B32" w:rsidRDefault="00272B64" w:rsidP="00272B64">
      <w:pPr>
        <w:tabs>
          <w:tab w:val="left" w:pos="3060"/>
        </w:tabs>
        <w:ind w:left="3060"/>
        <w:jc w:val="both"/>
      </w:pPr>
    </w:p>
    <w:p w:rsidR="00272B64" w:rsidRPr="00277B32" w:rsidRDefault="00272B64" w:rsidP="00272B64">
      <w:pPr>
        <w:tabs>
          <w:tab w:val="left" w:pos="3060"/>
        </w:tabs>
        <w:ind w:left="3060"/>
        <w:jc w:val="both"/>
      </w:pPr>
    </w:p>
    <w:p w:rsidR="00272B64" w:rsidRPr="00277B32" w:rsidRDefault="00272B64" w:rsidP="00272B64">
      <w:pPr>
        <w:numPr>
          <w:ilvl w:val="0"/>
          <w:numId w:val="4"/>
        </w:numPr>
        <w:tabs>
          <w:tab w:val="clear" w:pos="3780"/>
          <w:tab w:val="left" w:pos="1800"/>
        </w:tabs>
        <w:ind w:left="3060" w:hanging="1620"/>
        <w:jc w:val="both"/>
        <w:rPr>
          <w:b/>
        </w:rPr>
      </w:pPr>
      <w:r w:rsidRPr="00277B32">
        <w:rPr>
          <w:b/>
        </w:rPr>
        <w:t>Chemical Characteristics</w:t>
      </w:r>
    </w:p>
    <w:p w:rsidR="00272B64" w:rsidRPr="00277B32" w:rsidRDefault="00272B64" w:rsidP="00272B64">
      <w:pPr>
        <w:tabs>
          <w:tab w:val="left" w:pos="1800"/>
        </w:tabs>
        <w:ind w:left="2200"/>
        <w:jc w:val="both"/>
        <w:rPr>
          <w:b/>
        </w:rPr>
      </w:pPr>
      <w:r w:rsidRPr="00277B32">
        <w:t>The chemical characteristics shall conform to those required for pipes by EN 1452-   2:1999</w:t>
      </w:r>
    </w:p>
    <w:p w:rsidR="00272B64" w:rsidRPr="00277B32" w:rsidRDefault="00272B64" w:rsidP="00272B64">
      <w:pPr>
        <w:tabs>
          <w:tab w:val="left" w:pos="1800"/>
        </w:tabs>
        <w:ind w:left="1440"/>
        <w:jc w:val="both"/>
        <w:rPr>
          <w:b/>
        </w:rPr>
      </w:pPr>
    </w:p>
    <w:p w:rsidR="00272B64" w:rsidRPr="00277B32" w:rsidRDefault="00272B64" w:rsidP="00272B64">
      <w:pPr>
        <w:ind w:left="1440" w:hanging="640"/>
        <w:rPr>
          <w:b/>
          <w:u w:val="single"/>
        </w:rPr>
      </w:pPr>
      <w:r w:rsidRPr="00277B32">
        <w:rPr>
          <w:b/>
        </w:rPr>
        <w:t>2.2</w:t>
      </w:r>
      <w:r w:rsidRPr="00277B32">
        <w:tab/>
      </w:r>
      <w:r w:rsidRPr="00277B32">
        <w:rPr>
          <w:b/>
        </w:rPr>
        <w:t>Applicable Standards</w:t>
      </w:r>
    </w:p>
    <w:p w:rsidR="00272B64" w:rsidRPr="00277B32" w:rsidRDefault="00272B64" w:rsidP="00272B64">
      <w:pPr>
        <w:ind w:left="720"/>
        <w:rPr>
          <w:b/>
          <w:u w:val="single"/>
        </w:rPr>
      </w:pPr>
    </w:p>
    <w:p w:rsidR="00272B64" w:rsidRPr="00277B32" w:rsidRDefault="00272B64" w:rsidP="00272B64">
      <w:pPr>
        <w:ind w:left="1440"/>
        <w:jc w:val="both"/>
      </w:pPr>
      <w:r w:rsidRPr="00277B32">
        <w:t>The Ball valves shall comply with BS EN 1452-4:2000 in every respect unless</w:t>
      </w:r>
      <w:r w:rsidRPr="00277B32">
        <w:tab/>
        <w:t>otherwise stated in the specifications.</w:t>
      </w:r>
    </w:p>
    <w:p w:rsidR="00272B64" w:rsidRPr="00277B32" w:rsidRDefault="00272B64" w:rsidP="00272B64">
      <w:pPr>
        <w:spacing w:line="360" w:lineRule="auto"/>
        <w:ind w:left="1440"/>
        <w:jc w:val="both"/>
      </w:pPr>
    </w:p>
    <w:p w:rsidR="00272B64" w:rsidRPr="00277B32" w:rsidRDefault="00272B64" w:rsidP="00272B64">
      <w:pPr>
        <w:numPr>
          <w:ilvl w:val="1"/>
          <w:numId w:val="7"/>
        </w:numPr>
        <w:rPr>
          <w:b/>
        </w:rPr>
      </w:pPr>
      <w:r w:rsidRPr="00277B32">
        <w:rPr>
          <w:b/>
        </w:rPr>
        <w:t xml:space="preserve">      Markings on the body</w:t>
      </w:r>
    </w:p>
    <w:p w:rsidR="00272B64" w:rsidRPr="00277B32" w:rsidRDefault="00272B64" w:rsidP="00272B64"/>
    <w:p w:rsidR="00272B64" w:rsidRPr="00277B32" w:rsidRDefault="00272B64" w:rsidP="00272B64">
      <w:pPr>
        <w:ind w:left="1440"/>
        <w:jc w:val="both"/>
      </w:pPr>
      <w:r w:rsidRPr="00277B32">
        <w:t>Ball valves shall be legibly and indelibly marked with the following, by embossing or engraving integrally during the process of manufacturing and shall comply with ASTM F 1970</w:t>
      </w:r>
    </w:p>
    <w:p w:rsidR="00272B64" w:rsidRPr="00277B32" w:rsidRDefault="00272B64" w:rsidP="00272B64">
      <w:pPr>
        <w:spacing w:line="360" w:lineRule="auto"/>
        <w:ind w:left="720"/>
      </w:pPr>
    </w:p>
    <w:p w:rsidR="00272B64" w:rsidRPr="00277B32" w:rsidRDefault="00272B64" w:rsidP="00272B64">
      <w:pPr>
        <w:numPr>
          <w:ilvl w:val="0"/>
          <w:numId w:val="3"/>
        </w:numPr>
        <w:spacing w:line="360" w:lineRule="auto"/>
      </w:pPr>
      <w:r w:rsidRPr="00277B32">
        <w:t>Trade name of the product / Identification mark</w:t>
      </w:r>
    </w:p>
    <w:p w:rsidR="00272B64" w:rsidRPr="00277B32" w:rsidRDefault="00272B64" w:rsidP="00272B64">
      <w:pPr>
        <w:numPr>
          <w:ilvl w:val="0"/>
          <w:numId w:val="3"/>
        </w:numPr>
        <w:spacing w:line="360" w:lineRule="auto"/>
      </w:pPr>
      <w:r w:rsidRPr="00277B32">
        <w:t xml:space="preserve">BS or other equivalent standards </w:t>
      </w:r>
    </w:p>
    <w:p w:rsidR="00272B64" w:rsidRPr="00277B32" w:rsidRDefault="00272B64" w:rsidP="00272B64">
      <w:pPr>
        <w:numPr>
          <w:ilvl w:val="0"/>
          <w:numId w:val="3"/>
        </w:numPr>
        <w:spacing w:line="360" w:lineRule="auto"/>
      </w:pPr>
      <w:r w:rsidRPr="00277B32">
        <w:t>The nominal size and direction of flow</w:t>
      </w:r>
    </w:p>
    <w:p w:rsidR="00272B64" w:rsidRPr="00277B32" w:rsidRDefault="00272B64" w:rsidP="00272B64">
      <w:pPr>
        <w:numPr>
          <w:ilvl w:val="0"/>
          <w:numId w:val="3"/>
        </w:numPr>
        <w:spacing w:line="360" w:lineRule="auto"/>
      </w:pPr>
      <w:r w:rsidRPr="00277B32">
        <w:t xml:space="preserve">Nominal pressure and the temperature for which the pressure is applicable </w:t>
      </w:r>
    </w:p>
    <w:p w:rsidR="00272B64" w:rsidRPr="00277B32" w:rsidRDefault="00272B64" w:rsidP="00272B64">
      <w:pPr>
        <w:numPr>
          <w:ilvl w:val="0"/>
          <w:numId w:val="3"/>
        </w:numPr>
        <w:spacing w:line="360" w:lineRule="auto"/>
      </w:pPr>
      <w:r w:rsidRPr="00277B32">
        <w:t>Material designation</w:t>
      </w:r>
    </w:p>
    <w:p w:rsidR="00272B64" w:rsidRPr="00277B32" w:rsidRDefault="00272B64" w:rsidP="00272B64">
      <w:pPr>
        <w:spacing w:line="360" w:lineRule="auto"/>
      </w:pPr>
    </w:p>
    <w:p w:rsidR="00272B64" w:rsidRPr="00277B32" w:rsidRDefault="00272B64" w:rsidP="00272B64">
      <w:pPr>
        <w:spacing w:line="360" w:lineRule="auto"/>
        <w:ind w:firstLine="720"/>
        <w:rPr>
          <w:b/>
        </w:rPr>
      </w:pPr>
      <w:r w:rsidRPr="00277B32">
        <w:rPr>
          <w:b/>
        </w:rPr>
        <w:t xml:space="preserve">2.3.1 </w:t>
      </w:r>
      <w:r w:rsidRPr="00277B32">
        <w:rPr>
          <w:b/>
        </w:rPr>
        <w:tab/>
        <w:t>Additional Marking</w:t>
      </w:r>
    </w:p>
    <w:p w:rsidR="00272B64" w:rsidRPr="00277B32" w:rsidRDefault="00272B64" w:rsidP="00272B64">
      <w:pPr>
        <w:ind w:left="1440"/>
        <w:jc w:val="both"/>
      </w:pPr>
      <w:r w:rsidRPr="00277B32">
        <w:t>Valves conforming to this standard, which conform also to other standard(s) may be additionally marked with minimum required marking in accordance with relevant standards. Documentary proof shall be provided for third party certificates.</w:t>
      </w:r>
    </w:p>
    <w:p w:rsidR="00272B64" w:rsidRPr="00277B32" w:rsidRDefault="00272B64" w:rsidP="00272B64"/>
    <w:p w:rsidR="00272B64" w:rsidRPr="00277B32" w:rsidRDefault="00272B64" w:rsidP="00272B64"/>
    <w:p w:rsidR="00272B64" w:rsidRPr="00277B32" w:rsidRDefault="00272B64" w:rsidP="00272B64">
      <w:pPr>
        <w:ind w:left="720"/>
        <w:rPr>
          <w:b/>
          <w:u w:val="single"/>
        </w:rPr>
      </w:pPr>
      <w:r w:rsidRPr="00277B32">
        <w:rPr>
          <w:b/>
        </w:rPr>
        <w:t>2.4     Size</w:t>
      </w:r>
    </w:p>
    <w:p w:rsidR="00272B64" w:rsidRPr="00277B32" w:rsidRDefault="00272B64" w:rsidP="00272B64"/>
    <w:p w:rsidR="00272B64" w:rsidRPr="00277B32" w:rsidRDefault="00272B64" w:rsidP="00272B64">
      <w:pPr>
        <w:ind w:left="720" w:firstLine="720"/>
        <w:jc w:val="both"/>
      </w:pPr>
      <w:r w:rsidRPr="00277B32">
        <w:t xml:space="preserve">Sizes of the valves shall be as stated in the Bill of Quantities </w:t>
      </w:r>
    </w:p>
    <w:p w:rsidR="00272B64" w:rsidRPr="00277B32" w:rsidRDefault="00272B64" w:rsidP="00272B64">
      <w:pPr>
        <w:tabs>
          <w:tab w:val="left" w:pos="2160"/>
        </w:tabs>
        <w:ind w:left="2160"/>
      </w:pPr>
    </w:p>
    <w:p w:rsidR="00272B64" w:rsidRPr="00277B32" w:rsidRDefault="00272B64" w:rsidP="00272B64">
      <w:pPr>
        <w:tabs>
          <w:tab w:val="left" w:pos="3060"/>
        </w:tabs>
        <w:ind w:left="3420"/>
        <w:jc w:val="both"/>
      </w:pPr>
    </w:p>
    <w:p w:rsidR="00272B64" w:rsidRPr="00277B32" w:rsidRDefault="00272B64" w:rsidP="00272B64">
      <w:pPr>
        <w:ind w:left="700"/>
        <w:jc w:val="both"/>
        <w:rPr>
          <w:u w:val="single"/>
        </w:rPr>
      </w:pPr>
      <w:r w:rsidRPr="00277B32">
        <w:rPr>
          <w:b/>
        </w:rPr>
        <w:t>2.5     Valve Components</w:t>
      </w:r>
    </w:p>
    <w:p w:rsidR="00272B64" w:rsidRPr="00277B32" w:rsidRDefault="00272B64" w:rsidP="00272B64">
      <w:pPr>
        <w:jc w:val="both"/>
        <w:rPr>
          <w:u w:val="single"/>
        </w:rPr>
      </w:pPr>
    </w:p>
    <w:p w:rsidR="00272B64" w:rsidRPr="00277B32" w:rsidRDefault="00272B64" w:rsidP="00272B64">
      <w:pPr>
        <w:jc w:val="both"/>
        <w:rPr>
          <w:b/>
          <w:u w:val="single"/>
        </w:rPr>
      </w:pPr>
    </w:p>
    <w:tbl>
      <w:tblPr>
        <w:tblW w:w="8335" w:type="dxa"/>
        <w:tblInd w:w="616" w:type="dxa"/>
        <w:tblLook w:val="01E0" w:firstRow="1" w:lastRow="1" w:firstColumn="1" w:lastColumn="1" w:noHBand="0" w:noVBand="0"/>
      </w:tblPr>
      <w:tblGrid>
        <w:gridCol w:w="576"/>
        <w:gridCol w:w="1436"/>
        <w:gridCol w:w="1809"/>
        <w:gridCol w:w="4514"/>
      </w:tblGrid>
      <w:tr w:rsidR="00272B64" w:rsidRPr="00277B32" w:rsidTr="00F042EE">
        <w:tc>
          <w:tcPr>
            <w:tcW w:w="576" w:type="dxa"/>
          </w:tcPr>
          <w:p w:rsidR="00272B64" w:rsidRPr="00277B32" w:rsidRDefault="00272B64" w:rsidP="00F042EE">
            <w:pPr>
              <w:spacing w:line="360" w:lineRule="auto"/>
              <w:jc w:val="both"/>
            </w:pPr>
          </w:p>
        </w:tc>
        <w:tc>
          <w:tcPr>
            <w:tcW w:w="1436" w:type="dxa"/>
          </w:tcPr>
          <w:p w:rsidR="00272B64" w:rsidRPr="00277B32" w:rsidRDefault="00272B64" w:rsidP="00F042EE">
            <w:pPr>
              <w:spacing w:line="360" w:lineRule="auto"/>
              <w:jc w:val="center"/>
              <w:rPr>
                <w:b/>
                <w:u w:val="single"/>
              </w:rPr>
            </w:pPr>
            <w:r w:rsidRPr="00277B32">
              <w:rPr>
                <w:b/>
              </w:rPr>
              <w:t>Item</w:t>
            </w:r>
          </w:p>
        </w:tc>
        <w:tc>
          <w:tcPr>
            <w:tcW w:w="1809" w:type="dxa"/>
          </w:tcPr>
          <w:p w:rsidR="00272B64" w:rsidRPr="00277B32" w:rsidRDefault="00272B64" w:rsidP="00F042EE">
            <w:pPr>
              <w:spacing w:line="360" w:lineRule="auto"/>
              <w:jc w:val="center"/>
              <w:rPr>
                <w:b/>
                <w:u w:val="single"/>
              </w:rPr>
            </w:pPr>
            <w:r w:rsidRPr="00277B32">
              <w:rPr>
                <w:b/>
              </w:rPr>
              <w:t>Material Type</w:t>
            </w:r>
          </w:p>
        </w:tc>
        <w:tc>
          <w:tcPr>
            <w:tcW w:w="4514" w:type="dxa"/>
          </w:tcPr>
          <w:p w:rsidR="00272B64" w:rsidRPr="00277B32" w:rsidRDefault="00272B64" w:rsidP="00F042EE">
            <w:pPr>
              <w:spacing w:line="360" w:lineRule="auto"/>
              <w:jc w:val="center"/>
              <w:rPr>
                <w:b/>
                <w:u w:val="single"/>
              </w:rPr>
            </w:pPr>
            <w:r w:rsidRPr="00277B32">
              <w:rPr>
                <w:b/>
              </w:rPr>
              <w:t>Description</w:t>
            </w:r>
          </w:p>
        </w:tc>
      </w:tr>
      <w:tr w:rsidR="00272B64" w:rsidRPr="00277B32" w:rsidTr="00F042EE">
        <w:tc>
          <w:tcPr>
            <w:tcW w:w="576" w:type="dxa"/>
          </w:tcPr>
          <w:p w:rsidR="00272B64" w:rsidRPr="00277B32" w:rsidRDefault="00272B64" w:rsidP="00F042EE">
            <w:pPr>
              <w:spacing w:line="360" w:lineRule="auto"/>
              <w:jc w:val="center"/>
              <w:rPr>
                <w:b/>
                <w:u w:val="single"/>
              </w:rPr>
            </w:pPr>
            <w:r w:rsidRPr="00277B32">
              <w:t>01</w:t>
            </w:r>
          </w:p>
        </w:tc>
        <w:tc>
          <w:tcPr>
            <w:tcW w:w="1436" w:type="dxa"/>
          </w:tcPr>
          <w:p w:rsidR="00272B64" w:rsidRPr="00277B32" w:rsidRDefault="00272B64" w:rsidP="00F042EE">
            <w:pPr>
              <w:spacing w:line="360" w:lineRule="auto"/>
              <w:jc w:val="both"/>
              <w:rPr>
                <w:b/>
                <w:u w:val="single"/>
              </w:rPr>
            </w:pPr>
            <w:r w:rsidRPr="00277B32">
              <w:t>Body</w:t>
            </w:r>
          </w:p>
        </w:tc>
        <w:tc>
          <w:tcPr>
            <w:tcW w:w="1809" w:type="dxa"/>
          </w:tcPr>
          <w:p w:rsidR="00272B64" w:rsidRPr="00277B32" w:rsidRDefault="00272B64" w:rsidP="00F042EE">
            <w:pPr>
              <w:spacing w:line="360" w:lineRule="auto"/>
              <w:jc w:val="center"/>
              <w:rPr>
                <w:b/>
                <w:u w:val="single"/>
              </w:rPr>
            </w:pPr>
            <w:proofErr w:type="spellStart"/>
            <w:r w:rsidRPr="00277B32">
              <w:t>uPVC</w:t>
            </w:r>
            <w:proofErr w:type="spellEnd"/>
          </w:p>
        </w:tc>
        <w:tc>
          <w:tcPr>
            <w:tcW w:w="4514" w:type="dxa"/>
          </w:tcPr>
          <w:p w:rsidR="00272B64" w:rsidRPr="00277B32" w:rsidRDefault="00272B64" w:rsidP="00F042EE">
            <w:pPr>
              <w:spacing w:line="360" w:lineRule="auto"/>
              <w:jc w:val="both"/>
              <w:rPr>
                <w:b/>
                <w:u w:val="single"/>
              </w:rPr>
            </w:pPr>
            <w:proofErr w:type="spellStart"/>
            <w:r w:rsidRPr="00277B32">
              <w:t>Unplasticized</w:t>
            </w:r>
            <w:proofErr w:type="spellEnd"/>
            <w:r w:rsidRPr="00277B32">
              <w:t xml:space="preserve"> Polyvinyl Chloride</w:t>
            </w:r>
          </w:p>
        </w:tc>
      </w:tr>
      <w:tr w:rsidR="00272B64" w:rsidRPr="00277B32" w:rsidTr="00F042EE">
        <w:tc>
          <w:tcPr>
            <w:tcW w:w="576" w:type="dxa"/>
          </w:tcPr>
          <w:p w:rsidR="00272B64" w:rsidRPr="00277B32" w:rsidRDefault="00272B64" w:rsidP="00F042EE">
            <w:pPr>
              <w:spacing w:line="360" w:lineRule="auto"/>
              <w:jc w:val="center"/>
            </w:pPr>
            <w:r w:rsidRPr="00277B32">
              <w:t>02</w:t>
            </w:r>
          </w:p>
        </w:tc>
        <w:tc>
          <w:tcPr>
            <w:tcW w:w="1436" w:type="dxa"/>
          </w:tcPr>
          <w:p w:rsidR="00272B64" w:rsidRPr="00277B32" w:rsidRDefault="00272B64" w:rsidP="00F042EE">
            <w:pPr>
              <w:spacing w:line="360" w:lineRule="auto"/>
              <w:jc w:val="both"/>
            </w:pPr>
            <w:r w:rsidRPr="00277B32">
              <w:t>Ball &amp; stem</w:t>
            </w:r>
          </w:p>
        </w:tc>
        <w:tc>
          <w:tcPr>
            <w:tcW w:w="1809" w:type="dxa"/>
          </w:tcPr>
          <w:p w:rsidR="00272B64" w:rsidRPr="00277B32" w:rsidRDefault="00272B64" w:rsidP="00F042EE">
            <w:pPr>
              <w:spacing w:line="360" w:lineRule="auto"/>
              <w:jc w:val="center"/>
            </w:pPr>
            <w:proofErr w:type="spellStart"/>
            <w:r w:rsidRPr="00277B32">
              <w:t>uPVC</w:t>
            </w:r>
            <w:proofErr w:type="spellEnd"/>
          </w:p>
        </w:tc>
        <w:tc>
          <w:tcPr>
            <w:tcW w:w="4514" w:type="dxa"/>
          </w:tcPr>
          <w:p w:rsidR="00272B64" w:rsidRPr="00277B32" w:rsidRDefault="00272B64" w:rsidP="00F042EE">
            <w:pPr>
              <w:spacing w:line="360" w:lineRule="auto"/>
              <w:jc w:val="both"/>
              <w:rPr>
                <w:b/>
                <w:u w:val="single"/>
              </w:rPr>
            </w:pPr>
            <w:proofErr w:type="spellStart"/>
            <w:r w:rsidRPr="00277B32">
              <w:t>Unplasticized</w:t>
            </w:r>
            <w:proofErr w:type="spellEnd"/>
            <w:r w:rsidRPr="00277B32">
              <w:t xml:space="preserve"> Polyvinyl Chloride</w:t>
            </w:r>
          </w:p>
        </w:tc>
      </w:tr>
      <w:tr w:rsidR="00272B64" w:rsidRPr="00277B32" w:rsidTr="00F042EE">
        <w:tc>
          <w:tcPr>
            <w:tcW w:w="576" w:type="dxa"/>
          </w:tcPr>
          <w:p w:rsidR="00272B64" w:rsidRPr="00277B32" w:rsidRDefault="00272B64" w:rsidP="00F042EE">
            <w:pPr>
              <w:spacing w:line="360" w:lineRule="auto"/>
              <w:jc w:val="center"/>
            </w:pPr>
            <w:r w:rsidRPr="00277B32">
              <w:t>03</w:t>
            </w:r>
          </w:p>
        </w:tc>
        <w:tc>
          <w:tcPr>
            <w:tcW w:w="1436" w:type="dxa"/>
          </w:tcPr>
          <w:p w:rsidR="00272B64" w:rsidRPr="00277B32" w:rsidRDefault="00272B64" w:rsidP="00F042EE">
            <w:pPr>
              <w:spacing w:line="360" w:lineRule="auto"/>
              <w:jc w:val="both"/>
            </w:pPr>
            <w:r w:rsidRPr="00277B32">
              <w:t>Sealing Seat</w:t>
            </w:r>
          </w:p>
        </w:tc>
        <w:tc>
          <w:tcPr>
            <w:tcW w:w="1809" w:type="dxa"/>
          </w:tcPr>
          <w:p w:rsidR="00272B64" w:rsidRPr="00277B32" w:rsidRDefault="00272B64" w:rsidP="00F042EE">
            <w:pPr>
              <w:spacing w:line="360" w:lineRule="auto"/>
              <w:jc w:val="center"/>
            </w:pPr>
            <w:r w:rsidRPr="00277B32">
              <w:t>PTEE</w:t>
            </w:r>
          </w:p>
        </w:tc>
        <w:tc>
          <w:tcPr>
            <w:tcW w:w="4514" w:type="dxa"/>
          </w:tcPr>
          <w:p w:rsidR="00272B64" w:rsidRPr="00277B32" w:rsidRDefault="00272B64" w:rsidP="00F042EE">
            <w:pPr>
              <w:spacing w:line="360" w:lineRule="auto"/>
              <w:jc w:val="both"/>
              <w:rPr>
                <w:b/>
                <w:u w:val="single"/>
              </w:rPr>
            </w:pPr>
            <w:r w:rsidRPr="00277B32">
              <w:t xml:space="preserve">Poly Tetra </w:t>
            </w:r>
            <w:proofErr w:type="spellStart"/>
            <w:r w:rsidRPr="00277B32">
              <w:t>Fluoro</w:t>
            </w:r>
            <w:proofErr w:type="spellEnd"/>
            <w:r w:rsidRPr="00277B32">
              <w:t xml:space="preserve"> Ethylene (Teflon)</w:t>
            </w:r>
          </w:p>
        </w:tc>
      </w:tr>
      <w:tr w:rsidR="00272B64" w:rsidRPr="00277B32" w:rsidTr="00F042EE">
        <w:tc>
          <w:tcPr>
            <w:tcW w:w="576" w:type="dxa"/>
          </w:tcPr>
          <w:p w:rsidR="00272B64" w:rsidRPr="00277B32" w:rsidRDefault="00272B64" w:rsidP="00F042EE">
            <w:pPr>
              <w:spacing w:line="360" w:lineRule="auto"/>
              <w:jc w:val="center"/>
            </w:pPr>
            <w:r w:rsidRPr="00277B32">
              <w:t>04</w:t>
            </w:r>
          </w:p>
        </w:tc>
        <w:tc>
          <w:tcPr>
            <w:tcW w:w="1436" w:type="dxa"/>
          </w:tcPr>
          <w:p w:rsidR="00272B64" w:rsidRPr="00277B32" w:rsidRDefault="00272B64" w:rsidP="00F042EE">
            <w:pPr>
              <w:spacing w:line="360" w:lineRule="auto"/>
              <w:jc w:val="both"/>
            </w:pPr>
            <w:r w:rsidRPr="00277B32">
              <w:t>Handle</w:t>
            </w:r>
          </w:p>
        </w:tc>
        <w:tc>
          <w:tcPr>
            <w:tcW w:w="1809" w:type="dxa"/>
          </w:tcPr>
          <w:p w:rsidR="00272B64" w:rsidRPr="00277B32" w:rsidRDefault="00272B64" w:rsidP="00F042EE">
            <w:pPr>
              <w:spacing w:line="360" w:lineRule="auto"/>
              <w:jc w:val="center"/>
            </w:pPr>
            <w:r w:rsidRPr="00277B32">
              <w:t xml:space="preserve">  ABS </w:t>
            </w:r>
            <w:r w:rsidRPr="00277B32">
              <w:tab/>
            </w:r>
          </w:p>
        </w:tc>
        <w:tc>
          <w:tcPr>
            <w:tcW w:w="4514" w:type="dxa"/>
          </w:tcPr>
          <w:p w:rsidR="00272B64" w:rsidRPr="00277B32" w:rsidRDefault="00272B64" w:rsidP="00F042EE">
            <w:pPr>
              <w:spacing w:line="360" w:lineRule="auto"/>
              <w:jc w:val="both"/>
              <w:rPr>
                <w:b/>
                <w:u w:val="single"/>
              </w:rPr>
            </w:pPr>
            <w:r w:rsidRPr="00277B32">
              <w:t>Acrylonitrile-Butadiene–Styrene Copolymer</w:t>
            </w:r>
          </w:p>
        </w:tc>
      </w:tr>
      <w:tr w:rsidR="00272B64" w:rsidRPr="00277B32" w:rsidTr="00F042EE">
        <w:tc>
          <w:tcPr>
            <w:tcW w:w="576" w:type="dxa"/>
          </w:tcPr>
          <w:p w:rsidR="00272B64" w:rsidRPr="00277B32" w:rsidRDefault="00272B64" w:rsidP="00F042EE">
            <w:pPr>
              <w:spacing w:line="360" w:lineRule="auto"/>
              <w:jc w:val="center"/>
            </w:pPr>
            <w:r w:rsidRPr="00277B32">
              <w:t>05</w:t>
            </w:r>
          </w:p>
        </w:tc>
        <w:tc>
          <w:tcPr>
            <w:tcW w:w="1436" w:type="dxa"/>
          </w:tcPr>
          <w:p w:rsidR="00272B64" w:rsidRPr="00277B32" w:rsidRDefault="00272B64" w:rsidP="00F042EE">
            <w:pPr>
              <w:spacing w:line="360" w:lineRule="auto"/>
              <w:jc w:val="both"/>
            </w:pPr>
            <w:r w:rsidRPr="00277B32">
              <w:t>Handle cap</w:t>
            </w:r>
          </w:p>
        </w:tc>
        <w:tc>
          <w:tcPr>
            <w:tcW w:w="1809" w:type="dxa"/>
          </w:tcPr>
          <w:p w:rsidR="00272B64" w:rsidRPr="00277B32" w:rsidRDefault="00272B64" w:rsidP="00F042EE">
            <w:pPr>
              <w:spacing w:line="360" w:lineRule="auto"/>
              <w:jc w:val="center"/>
            </w:pPr>
            <w:r w:rsidRPr="00277B32">
              <w:t xml:space="preserve">  ABS </w:t>
            </w:r>
            <w:r w:rsidRPr="00277B32">
              <w:tab/>
            </w:r>
          </w:p>
        </w:tc>
        <w:tc>
          <w:tcPr>
            <w:tcW w:w="4514" w:type="dxa"/>
          </w:tcPr>
          <w:p w:rsidR="00272B64" w:rsidRPr="00277B32" w:rsidRDefault="00272B64" w:rsidP="00F042EE">
            <w:pPr>
              <w:spacing w:line="360" w:lineRule="auto"/>
              <w:jc w:val="both"/>
              <w:rPr>
                <w:b/>
                <w:u w:val="single"/>
              </w:rPr>
            </w:pPr>
            <w:r w:rsidRPr="00277B32">
              <w:t>Acrylonitrile-Butadiene–Styrene Copolymer</w:t>
            </w:r>
          </w:p>
        </w:tc>
      </w:tr>
      <w:tr w:rsidR="00272B64" w:rsidRPr="00277B32" w:rsidTr="00F042EE">
        <w:tc>
          <w:tcPr>
            <w:tcW w:w="576" w:type="dxa"/>
          </w:tcPr>
          <w:p w:rsidR="00272B64" w:rsidRPr="00277B32" w:rsidRDefault="00272B64" w:rsidP="00F042EE">
            <w:pPr>
              <w:spacing w:line="360" w:lineRule="auto"/>
              <w:jc w:val="center"/>
            </w:pPr>
            <w:r w:rsidRPr="00277B32">
              <w:t>06</w:t>
            </w:r>
          </w:p>
        </w:tc>
        <w:tc>
          <w:tcPr>
            <w:tcW w:w="1436" w:type="dxa"/>
          </w:tcPr>
          <w:p w:rsidR="00272B64" w:rsidRPr="00277B32" w:rsidRDefault="00272B64" w:rsidP="00F042EE">
            <w:pPr>
              <w:spacing w:line="360" w:lineRule="auto"/>
              <w:jc w:val="both"/>
            </w:pPr>
            <w:r w:rsidRPr="00277B32">
              <w:t>O ring</w:t>
            </w:r>
          </w:p>
        </w:tc>
        <w:tc>
          <w:tcPr>
            <w:tcW w:w="1809" w:type="dxa"/>
          </w:tcPr>
          <w:p w:rsidR="00272B64" w:rsidRPr="00277B32" w:rsidRDefault="00272B64" w:rsidP="00F042EE">
            <w:pPr>
              <w:spacing w:line="360" w:lineRule="auto"/>
              <w:jc w:val="center"/>
            </w:pPr>
            <w:r w:rsidRPr="00277B32">
              <w:t xml:space="preserve"> EPDM</w:t>
            </w:r>
          </w:p>
        </w:tc>
        <w:tc>
          <w:tcPr>
            <w:tcW w:w="4514" w:type="dxa"/>
          </w:tcPr>
          <w:p w:rsidR="00272B64" w:rsidRPr="00277B32" w:rsidRDefault="00272B64" w:rsidP="00F042EE">
            <w:pPr>
              <w:spacing w:line="360" w:lineRule="auto"/>
              <w:jc w:val="both"/>
              <w:rPr>
                <w:b/>
                <w:u w:val="single"/>
              </w:rPr>
            </w:pPr>
            <w:r w:rsidRPr="00277B32">
              <w:t xml:space="preserve">EPT Rubber - Elastomeric product Ethylene Propylene </w:t>
            </w:r>
            <w:proofErr w:type="spellStart"/>
            <w:r w:rsidRPr="00277B32">
              <w:t>Dyene</w:t>
            </w:r>
            <w:proofErr w:type="spellEnd"/>
            <w:r w:rsidRPr="00277B32">
              <w:t xml:space="preserve"> Monomer</w:t>
            </w:r>
          </w:p>
        </w:tc>
      </w:tr>
    </w:tbl>
    <w:p w:rsidR="00272B64" w:rsidRPr="00277B32" w:rsidRDefault="00272B64" w:rsidP="00272B64">
      <w:pPr>
        <w:jc w:val="both"/>
      </w:pPr>
    </w:p>
    <w:p w:rsidR="00272B64" w:rsidRPr="00277B32" w:rsidRDefault="00272B64" w:rsidP="00272B64">
      <w:pPr>
        <w:tabs>
          <w:tab w:val="left" w:pos="1440"/>
        </w:tabs>
        <w:ind w:left="1200" w:firstLine="60"/>
        <w:jc w:val="both"/>
      </w:pPr>
      <w:r w:rsidRPr="00277B32">
        <w:tab/>
        <w:t>Composition of materials will be tested to verify the requirements in   standards.</w:t>
      </w:r>
    </w:p>
    <w:p w:rsidR="00272B64" w:rsidRPr="00277B32" w:rsidRDefault="00272B64" w:rsidP="00272B64">
      <w:pPr>
        <w:tabs>
          <w:tab w:val="left" w:pos="3060"/>
        </w:tabs>
        <w:jc w:val="both"/>
      </w:pPr>
    </w:p>
    <w:p w:rsidR="00272B64" w:rsidRPr="00277B32" w:rsidRDefault="00272B64" w:rsidP="00272B64">
      <w:pPr>
        <w:numPr>
          <w:ilvl w:val="1"/>
          <w:numId w:val="8"/>
        </w:numPr>
        <w:jc w:val="both"/>
        <w:rPr>
          <w:b/>
        </w:rPr>
      </w:pPr>
      <w:r w:rsidRPr="00277B32">
        <w:rPr>
          <w:b/>
        </w:rPr>
        <w:t>Construction of valve</w:t>
      </w:r>
    </w:p>
    <w:p w:rsidR="00272B64" w:rsidRPr="00277B32" w:rsidRDefault="00272B64" w:rsidP="00272B64">
      <w:pPr>
        <w:ind w:left="720"/>
        <w:jc w:val="both"/>
        <w:rPr>
          <w:b/>
          <w:highlight w:val="lightGray"/>
          <w:u w:val="single"/>
        </w:rPr>
      </w:pPr>
    </w:p>
    <w:p w:rsidR="00272B64" w:rsidRPr="00277B32" w:rsidRDefault="00272B64" w:rsidP="00272B64">
      <w:pPr>
        <w:ind w:left="720"/>
        <w:jc w:val="both"/>
        <w:rPr>
          <w:highlight w:val="lightGray"/>
        </w:rPr>
      </w:pPr>
    </w:p>
    <w:p w:rsidR="00272B64" w:rsidRPr="00277B32" w:rsidRDefault="00272B64" w:rsidP="00272B64">
      <w:pPr>
        <w:numPr>
          <w:ilvl w:val="0"/>
          <w:numId w:val="6"/>
        </w:numPr>
      </w:pPr>
      <w:r w:rsidRPr="00277B32">
        <w:t>Body, head and ball and stem</w:t>
      </w:r>
    </w:p>
    <w:p w:rsidR="00272B64" w:rsidRPr="00277B32" w:rsidRDefault="00272B64" w:rsidP="00272B64">
      <w:pPr>
        <w:ind w:left="1440"/>
        <w:rPr>
          <w:highlight w:val="lightGray"/>
        </w:rPr>
      </w:pPr>
      <w:r w:rsidRPr="00277B32">
        <w:t>Injection molded and other methods of manufacture mentioned in the relevant standards of this specification are acceptable, if they satisfy other conditions included in the specifications.</w:t>
      </w:r>
    </w:p>
    <w:p w:rsidR="00272B64" w:rsidRPr="00277B32" w:rsidRDefault="00272B64" w:rsidP="00272B64">
      <w:pPr>
        <w:ind w:left="2880"/>
        <w:jc w:val="both"/>
      </w:pPr>
      <w:r w:rsidRPr="00277B32">
        <w:tab/>
      </w:r>
    </w:p>
    <w:p w:rsidR="00272B64" w:rsidRPr="00277B32" w:rsidRDefault="00272B64" w:rsidP="00272B64">
      <w:pPr>
        <w:ind w:left="360" w:firstLine="540"/>
        <w:jc w:val="both"/>
      </w:pPr>
      <w:r w:rsidRPr="00277B32">
        <w:t>2.</w:t>
      </w:r>
      <w:r w:rsidRPr="00277B32">
        <w:tab/>
        <w:t>Geometrical Characteristics</w:t>
      </w:r>
    </w:p>
    <w:p w:rsidR="00272B64" w:rsidRPr="00277B32" w:rsidRDefault="00272B64" w:rsidP="00272B64">
      <w:pPr>
        <w:ind w:left="1440"/>
        <w:jc w:val="both"/>
      </w:pPr>
      <w:r w:rsidRPr="00277B32">
        <w:t xml:space="preserve">Dimension shall be accordance with </w:t>
      </w:r>
      <w:proofErr w:type="spellStart"/>
      <w:r w:rsidRPr="00277B32">
        <w:t>Pr</w:t>
      </w:r>
      <w:proofErr w:type="spellEnd"/>
      <w:r w:rsidRPr="00277B32">
        <w:t xml:space="preserve"> EN 496 as specified in BS EN 1452-4-2000.  </w:t>
      </w:r>
    </w:p>
    <w:p w:rsidR="00272B64" w:rsidRPr="00277B32" w:rsidRDefault="00272B64" w:rsidP="00272B64">
      <w:pPr>
        <w:ind w:left="1440"/>
        <w:jc w:val="both"/>
      </w:pPr>
    </w:p>
    <w:p w:rsidR="00272B64" w:rsidRPr="00277B32" w:rsidRDefault="00272B64" w:rsidP="00272B64">
      <w:pPr>
        <w:numPr>
          <w:ilvl w:val="0"/>
          <w:numId w:val="5"/>
        </w:numPr>
        <w:jc w:val="both"/>
      </w:pPr>
      <w:r w:rsidRPr="00277B32">
        <w:t xml:space="preserve">Threads           </w:t>
      </w:r>
    </w:p>
    <w:p w:rsidR="00272B64" w:rsidRPr="00277B32" w:rsidRDefault="00272B64" w:rsidP="00272B64">
      <w:pPr>
        <w:ind w:left="1440"/>
        <w:jc w:val="both"/>
      </w:pPr>
      <w:r w:rsidRPr="00277B32">
        <w:t>Inlet &amp; outlet threads shall be female BS pipe parallel threads of the nominal size as the valve and in compliance with BS 21.</w:t>
      </w:r>
    </w:p>
    <w:p w:rsidR="00272B64" w:rsidRPr="00277B32" w:rsidRDefault="00272B64" w:rsidP="00272B64">
      <w:pPr>
        <w:jc w:val="both"/>
      </w:pPr>
    </w:p>
    <w:p w:rsidR="00272B64" w:rsidRPr="00277B32" w:rsidRDefault="00272B64" w:rsidP="00272B64">
      <w:pPr>
        <w:numPr>
          <w:ilvl w:val="0"/>
          <w:numId w:val="5"/>
        </w:numPr>
        <w:jc w:val="both"/>
      </w:pPr>
      <w:r w:rsidRPr="00277B32">
        <w:t>Seat</w:t>
      </w:r>
    </w:p>
    <w:p w:rsidR="00272B64" w:rsidRPr="00277B32" w:rsidRDefault="00272B64" w:rsidP="00272B64">
      <w:pPr>
        <w:ind w:left="1440"/>
        <w:jc w:val="both"/>
      </w:pPr>
      <w:r w:rsidRPr="00277B32">
        <w:t>Seat shall be of PTEE and shall conform to relevant BS or equivalent water work standards.</w:t>
      </w:r>
    </w:p>
    <w:p w:rsidR="00272B64" w:rsidRPr="00277B32" w:rsidRDefault="00272B64" w:rsidP="00272B64">
      <w:pPr>
        <w:jc w:val="both"/>
      </w:pPr>
    </w:p>
    <w:p w:rsidR="00272B64" w:rsidRPr="00277B32" w:rsidRDefault="00272B64" w:rsidP="00272B64">
      <w:pPr>
        <w:numPr>
          <w:ilvl w:val="0"/>
          <w:numId w:val="5"/>
        </w:numPr>
        <w:jc w:val="both"/>
      </w:pPr>
      <w:r w:rsidRPr="00277B32">
        <w:t xml:space="preserve">O- rings       </w:t>
      </w:r>
    </w:p>
    <w:p w:rsidR="00272B64" w:rsidRPr="00277B32" w:rsidRDefault="00272B64" w:rsidP="00272B64">
      <w:pPr>
        <w:ind w:left="1440"/>
        <w:jc w:val="both"/>
      </w:pPr>
      <w:r w:rsidRPr="00277B32">
        <w:t>Shall be of EPDM and shall conform to BS EN 681-1; 1996 or ISO 4633; 2002.</w:t>
      </w:r>
    </w:p>
    <w:p w:rsidR="00272B64" w:rsidRPr="00277B32" w:rsidRDefault="00272B64" w:rsidP="00272B64">
      <w:pPr>
        <w:jc w:val="both"/>
      </w:pPr>
    </w:p>
    <w:p w:rsidR="00272B64" w:rsidRPr="00277B32" w:rsidRDefault="00272B64" w:rsidP="00272B64">
      <w:pPr>
        <w:jc w:val="both"/>
      </w:pPr>
    </w:p>
    <w:p w:rsidR="00272B64" w:rsidRPr="00277B32" w:rsidRDefault="00272B64" w:rsidP="00272B64">
      <w:pPr>
        <w:numPr>
          <w:ilvl w:val="1"/>
          <w:numId w:val="8"/>
        </w:numPr>
        <w:jc w:val="both"/>
        <w:rPr>
          <w:b/>
        </w:rPr>
      </w:pPr>
      <w:r w:rsidRPr="00277B32">
        <w:rPr>
          <w:b/>
        </w:rPr>
        <w:t xml:space="preserve"> Testing</w:t>
      </w:r>
    </w:p>
    <w:p w:rsidR="00272B64" w:rsidRPr="00277B32" w:rsidRDefault="00272B64" w:rsidP="00272B64">
      <w:pPr>
        <w:ind w:left="720"/>
        <w:jc w:val="both"/>
        <w:rPr>
          <w:b/>
          <w:u w:val="single"/>
        </w:rPr>
      </w:pPr>
    </w:p>
    <w:p w:rsidR="00272B64" w:rsidRPr="00277B32" w:rsidRDefault="00272B64" w:rsidP="00272B64">
      <w:pPr>
        <w:ind w:left="360" w:firstLine="720"/>
        <w:jc w:val="both"/>
        <w:rPr>
          <w:b/>
        </w:rPr>
      </w:pPr>
      <w:r w:rsidRPr="00277B32">
        <w:rPr>
          <w:b/>
        </w:rPr>
        <w:t>List of Tests</w:t>
      </w:r>
    </w:p>
    <w:p w:rsidR="00272B64" w:rsidRPr="00277B32" w:rsidRDefault="00272B64" w:rsidP="00272B64">
      <w:pPr>
        <w:jc w:val="both"/>
      </w:pPr>
    </w:p>
    <w:p w:rsidR="00272B64" w:rsidRPr="00277B32" w:rsidRDefault="00272B64" w:rsidP="00272B64">
      <w:pPr>
        <w:ind w:left="1440"/>
        <w:jc w:val="both"/>
      </w:pPr>
      <w:r w:rsidRPr="00277B32">
        <w:t>The list of tests carried out on the samples submitted with the offer and samples drawn from the delivered lots shall be in accordance with relevant BS or other standards.</w:t>
      </w:r>
    </w:p>
    <w:p w:rsidR="00272B64" w:rsidRPr="00277B32" w:rsidRDefault="00272B64" w:rsidP="00272B64">
      <w:pPr>
        <w:ind w:left="720"/>
        <w:jc w:val="both"/>
      </w:pPr>
    </w:p>
    <w:p w:rsidR="00272B64" w:rsidRPr="00277B32" w:rsidRDefault="00272B64" w:rsidP="00272B64">
      <w:pPr>
        <w:ind w:left="1080"/>
        <w:jc w:val="both"/>
        <w:rPr>
          <w:b/>
          <w:u w:val="single"/>
        </w:rPr>
      </w:pPr>
    </w:p>
    <w:p w:rsidR="00272B64" w:rsidRPr="00277B32" w:rsidRDefault="00272B64" w:rsidP="00272B64">
      <w:pPr>
        <w:ind w:left="720" w:firstLine="720"/>
        <w:jc w:val="both"/>
        <w:rPr>
          <w:b/>
        </w:rPr>
      </w:pPr>
      <w:r w:rsidRPr="00277B32">
        <w:rPr>
          <w:b/>
        </w:rPr>
        <w:t>2.7.1</w:t>
      </w:r>
      <w:r w:rsidRPr="00277B32">
        <w:rPr>
          <w:b/>
        </w:rPr>
        <w:tab/>
        <w:t xml:space="preserve"> Seat Test</w:t>
      </w:r>
    </w:p>
    <w:p w:rsidR="00272B64" w:rsidRPr="00277B32" w:rsidRDefault="00272B64" w:rsidP="00272B64">
      <w:pPr>
        <w:ind w:left="720"/>
        <w:jc w:val="both"/>
      </w:pPr>
    </w:p>
    <w:p w:rsidR="00272B64" w:rsidRPr="00277B32" w:rsidRDefault="00272B64" w:rsidP="00272B64">
      <w:pPr>
        <w:ind w:left="1800"/>
        <w:jc w:val="both"/>
      </w:pPr>
      <w:r w:rsidRPr="00277B32">
        <w:t xml:space="preserve">Every Ball Valve in the closed position shall show no leakage when subjected to an internal hydrostatic pressure of 15 </w:t>
      </w:r>
      <w:proofErr w:type="gramStart"/>
      <w:r w:rsidRPr="00277B32">
        <w:t>bar</w:t>
      </w:r>
      <w:proofErr w:type="gramEnd"/>
      <w:r w:rsidRPr="00277B32">
        <w:t>.</w:t>
      </w:r>
    </w:p>
    <w:p w:rsidR="00272B64" w:rsidRPr="00277B32" w:rsidRDefault="00272B64" w:rsidP="00272B64">
      <w:pPr>
        <w:jc w:val="both"/>
      </w:pPr>
    </w:p>
    <w:p w:rsidR="00272B64" w:rsidRPr="00277B32" w:rsidRDefault="00272B64" w:rsidP="00272B64">
      <w:pPr>
        <w:ind w:left="720"/>
        <w:jc w:val="both"/>
        <w:rPr>
          <w:b/>
        </w:rPr>
      </w:pPr>
      <w:r w:rsidRPr="00277B32">
        <w:rPr>
          <w:b/>
        </w:rPr>
        <w:tab/>
        <w:t>2.7.2</w:t>
      </w:r>
      <w:r w:rsidRPr="00277B32">
        <w:rPr>
          <w:b/>
        </w:rPr>
        <w:tab/>
        <w:t>Body Test</w:t>
      </w:r>
    </w:p>
    <w:p w:rsidR="00272B64" w:rsidRPr="00277B32" w:rsidRDefault="00272B64" w:rsidP="00272B64">
      <w:pPr>
        <w:ind w:left="720"/>
        <w:jc w:val="both"/>
      </w:pPr>
    </w:p>
    <w:p w:rsidR="00272B64" w:rsidRPr="00277B32" w:rsidRDefault="00272B64" w:rsidP="00272B64">
      <w:pPr>
        <w:ind w:left="1800"/>
        <w:jc w:val="both"/>
      </w:pPr>
      <w:r w:rsidRPr="00277B32">
        <w:t xml:space="preserve">In the open position and with the outlet sealed, shall be capable of withstanding without leakage an internally applied hydrostatic pressure of 15 </w:t>
      </w:r>
      <w:proofErr w:type="gramStart"/>
      <w:r w:rsidRPr="00277B32">
        <w:t>bar</w:t>
      </w:r>
      <w:proofErr w:type="gramEnd"/>
      <w:r w:rsidRPr="00277B32">
        <w:t>.</w:t>
      </w:r>
    </w:p>
    <w:p w:rsidR="00272B64" w:rsidRPr="00277B32" w:rsidRDefault="00272B64" w:rsidP="00272B64">
      <w:pPr>
        <w:jc w:val="both"/>
      </w:pPr>
    </w:p>
    <w:p w:rsidR="00272B64" w:rsidRPr="00277B32" w:rsidRDefault="00272B64" w:rsidP="00272B64">
      <w:pPr>
        <w:ind w:left="1440"/>
        <w:jc w:val="both"/>
      </w:pPr>
      <w:r w:rsidRPr="00277B32">
        <w:t>Extracts from EN 1452-4: 1999, Table 10-Endurance properties and Table 12- Conditions for seat and packing test is shown elsewhere in this specification.</w:t>
      </w:r>
    </w:p>
    <w:p w:rsidR="00272B64" w:rsidRPr="00277B32" w:rsidRDefault="00272B64" w:rsidP="00272B64">
      <w:pPr>
        <w:jc w:val="both"/>
      </w:pPr>
    </w:p>
    <w:p w:rsidR="00272B64" w:rsidRPr="00277B32" w:rsidRDefault="00272B64" w:rsidP="00272B64">
      <w:pPr>
        <w:ind w:firstLine="700"/>
        <w:jc w:val="both"/>
      </w:pPr>
      <w:r w:rsidRPr="00277B32">
        <w:rPr>
          <w:b/>
        </w:rPr>
        <w:t>2.8</w:t>
      </w:r>
      <w:r w:rsidRPr="00277B32">
        <w:tab/>
        <w:t xml:space="preserve">List of tests and standards requirements </w:t>
      </w:r>
      <w:proofErr w:type="gramStart"/>
      <w:r w:rsidRPr="00277B32">
        <w:t>are</w:t>
      </w:r>
      <w:proofErr w:type="gramEnd"/>
      <w:r w:rsidRPr="00277B32">
        <w:t xml:space="preserve"> as follows. </w:t>
      </w:r>
    </w:p>
    <w:p w:rsidR="00272B64" w:rsidRPr="00277B32" w:rsidRDefault="00272B64" w:rsidP="00272B64">
      <w:pPr>
        <w:jc w:val="both"/>
      </w:pPr>
    </w:p>
    <w:tbl>
      <w:tblPr>
        <w:tblW w:w="874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18"/>
        <w:gridCol w:w="5392"/>
      </w:tblGrid>
      <w:tr w:rsidR="00272B64" w:rsidRPr="00277B32" w:rsidTr="00F042EE">
        <w:trPr>
          <w:trHeight w:val="507"/>
        </w:trPr>
        <w:tc>
          <w:tcPr>
            <w:tcW w:w="630" w:type="dxa"/>
          </w:tcPr>
          <w:p w:rsidR="00272B64" w:rsidRPr="00277B32" w:rsidRDefault="00272B64" w:rsidP="00F042EE">
            <w:pPr>
              <w:jc w:val="center"/>
            </w:pPr>
            <w:r w:rsidRPr="00277B32">
              <w:t>No</w:t>
            </w:r>
          </w:p>
        </w:tc>
        <w:tc>
          <w:tcPr>
            <w:tcW w:w="2718" w:type="dxa"/>
          </w:tcPr>
          <w:p w:rsidR="00272B64" w:rsidRPr="00277B32" w:rsidRDefault="00272B64" w:rsidP="00F042EE">
            <w:pPr>
              <w:jc w:val="center"/>
            </w:pPr>
            <w:r w:rsidRPr="00277B32">
              <w:t>Test</w:t>
            </w:r>
          </w:p>
        </w:tc>
        <w:tc>
          <w:tcPr>
            <w:tcW w:w="5392" w:type="dxa"/>
          </w:tcPr>
          <w:p w:rsidR="00272B64" w:rsidRPr="00277B32" w:rsidRDefault="00272B64" w:rsidP="00F042EE">
            <w:pPr>
              <w:jc w:val="center"/>
            </w:pPr>
            <w:r w:rsidRPr="00277B32">
              <w:t>Requirement in Standards</w:t>
            </w:r>
          </w:p>
        </w:tc>
      </w:tr>
      <w:tr w:rsidR="00272B64" w:rsidRPr="00277B32" w:rsidTr="00F042EE">
        <w:trPr>
          <w:trHeight w:val="525"/>
        </w:trPr>
        <w:tc>
          <w:tcPr>
            <w:tcW w:w="630" w:type="dxa"/>
          </w:tcPr>
          <w:p w:rsidR="00272B64" w:rsidRPr="00277B32" w:rsidRDefault="00272B64" w:rsidP="00F042EE">
            <w:pPr>
              <w:jc w:val="center"/>
            </w:pPr>
            <w:r w:rsidRPr="00277B32">
              <w:t>1</w:t>
            </w:r>
          </w:p>
        </w:tc>
        <w:tc>
          <w:tcPr>
            <w:tcW w:w="2718" w:type="dxa"/>
          </w:tcPr>
          <w:p w:rsidR="00272B64" w:rsidRPr="00277B32" w:rsidRDefault="00272B64" w:rsidP="00F042EE">
            <w:pPr>
              <w:jc w:val="both"/>
            </w:pPr>
            <w:r w:rsidRPr="00277B32">
              <w:t>Appearance</w:t>
            </w:r>
          </w:p>
        </w:tc>
        <w:tc>
          <w:tcPr>
            <w:tcW w:w="5392" w:type="dxa"/>
          </w:tcPr>
          <w:p w:rsidR="00272B64" w:rsidRPr="00277B32" w:rsidRDefault="00272B64" w:rsidP="00F042EE">
            <w:pPr>
              <w:jc w:val="both"/>
            </w:pPr>
            <w:r w:rsidRPr="00277B32">
              <w:t>The valve shall be homogeneous throughout and free of visible crack, holes, foreign inclusions or other defects as specified in ASTM D 2466-06</w:t>
            </w:r>
          </w:p>
        </w:tc>
      </w:tr>
      <w:tr w:rsidR="00272B64" w:rsidRPr="00277B32" w:rsidTr="00F042EE">
        <w:trPr>
          <w:trHeight w:val="525"/>
        </w:trPr>
        <w:tc>
          <w:tcPr>
            <w:tcW w:w="630" w:type="dxa"/>
          </w:tcPr>
          <w:p w:rsidR="00272B64" w:rsidRPr="00277B32" w:rsidRDefault="00272B64" w:rsidP="00F042EE">
            <w:pPr>
              <w:jc w:val="center"/>
            </w:pPr>
            <w:r w:rsidRPr="00277B32">
              <w:t>2</w:t>
            </w:r>
          </w:p>
        </w:tc>
        <w:tc>
          <w:tcPr>
            <w:tcW w:w="2718" w:type="dxa"/>
          </w:tcPr>
          <w:p w:rsidR="00272B64" w:rsidRPr="00277B32" w:rsidRDefault="00272B64" w:rsidP="00F042EE">
            <w:pPr>
              <w:jc w:val="both"/>
            </w:pPr>
            <w:r w:rsidRPr="00277B32">
              <w:t>Dimension</w:t>
            </w:r>
          </w:p>
        </w:tc>
        <w:tc>
          <w:tcPr>
            <w:tcW w:w="5392" w:type="dxa"/>
          </w:tcPr>
          <w:p w:rsidR="00272B64" w:rsidRPr="00277B32" w:rsidRDefault="00272B64" w:rsidP="00F042EE">
            <w:pPr>
              <w:jc w:val="both"/>
            </w:pPr>
            <w:r w:rsidRPr="00277B32">
              <w:t xml:space="preserve">Sealing Threads gauge correctly to BS ISO 7.1, </w:t>
            </w:r>
          </w:p>
          <w:p w:rsidR="00272B64" w:rsidRPr="00277B32" w:rsidRDefault="00272B64" w:rsidP="00F042EE">
            <w:pPr>
              <w:jc w:val="both"/>
            </w:pPr>
            <w:r w:rsidRPr="00277B32">
              <w:t>Thread length and other dimensions &amp;  tolerance is compliant to ASTM D  2466 - 06</w:t>
            </w:r>
          </w:p>
        </w:tc>
      </w:tr>
      <w:tr w:rsidR="00272B64" w:rsidRPr="00277B32" w:rsidTr="00F042EE">
        <w:trPr>
          <w:trHeight w:val="659"/>
        </w:trPr>
        <w:tc>
          <w:tcPr>
            <w:tcW w:w="630" w:type="dxa"/>
          </w:tcPr>
          <w:p w:rsidR="00272B64" w:rsidRPr="00277B32" w:rsidRDefault="00272B64" w:rsidP="00F042EE">
            <w:pPr>
              <w:jc w:val="center"/>
            </w:pPr>
            <w:r w:rsidRPr="00277B32">
              <w:t>3</w:t>
            </w:r>
          </w:p>
        </w:tc>
        <w:tc>
          <w:tcPr>
            <w:tcW w:w="2718" w:type="dxa"/>
          </w:tcPr>
          <w:p w:rsidR="00272B64" w:rsidRPr="00277B32" w:rsidRDefault="00272B64" w:rsidP="00F042EE">
            <w:pPr>
              <w:jc w:val="both"/>
            </w:pPr>
            <w:r w:rsidRPr="00277B32">
              <w:t xml:space="preserve">1000 </w:t>
            </w:r>
            <w:proofErr w:type="spellStart"/>
            <w:r w:rsidRPr="00277B32">
              <w:t>Hrs</w:t>
            </w:r>
            <w:proofErr w:type="spellEnd"/>
            <w:r w:rsidRPr="00277B32">
              <w:t xml:space="preserve"> Sustained </w:t>
            </w:r>
          </w:p>
          <w:p w:rsidR="00272B64" w:rsidRPr="00277B32" w:rsidRDefault="00272B64" w:rsidP="00F042EE">
            <w:pPr>
              <w:jc w:val="both"/>
            </w:pPr>
            <w:r w:rsidRPr="00277B32">
              <w:t>Pressure Test</w:t>
            </w:r>
          </w:p>
        </w:tc>
        <w:tc>
          <w:tcPr>
            <w:tcW w:w="5392" w:type="dxa"/>
          </w:tcPr>
          <w:p w:rsidR="00272B64" w:rsidRPr="00277B32" w:rsidRDefault="00272B64" w:rsidP="00F042EE">
            <w:pPr>
              <w:jc w:val="both"/>
            </w:pPr>
            <w:r w:rsidRPr="00277B32">
              <w:t xml:space="preserve">The test temperature between 15°C and 25°C with tolerance of ± 2C°, 1000 </w:t>
            </w:r>
            <w:proofErr w:type="spellStart"/>
            <w:r w:rsidRPr="00277B32">
              <w:t>Hrs</w:t>
            </w:r>
            <w:proofErr w:type="spellEnd"/>
            <w:r w:rsidRPr="00277B32">
              <w:t>, No Leaking or crack in compliance with ASTM  F 1970</w:t>
            </w:r>
          </w:p>
        </w:tc>
      </w:tr>
      <w:tr w:rsidR="00272B64" w:rsidRPr="00277B32" w:rsidTr="00F042EE">
        <w:trPr>
          <w:trHeight w:val="810"/>
        </w:trPr>
        <w:tc>
          <w:tcPr>
            <w:tcW w:w="630" w:type="dxa"/>
          </w:tcPr>
          <w:p w:rsidR="00272B64" w:rsidRPr="00277B32" w:rsidRDefault="00272B64" w:rsidP="00F042EE">
            <w:pPr>
              <w:jc w:val="center"/>
            </w:pPr>
            <w:r w:rsidRPr="00277B32">
              <w:t>4</w:t>
            </w:r>
          </w:p>
        </w:tc>
        <w:tc>
          <w:tcPr>
            <w:tcW w:w="2718" w:type="dxa"/>
          </w:tcPr>
          <w:p w:rsidR="00272B64" w:rsidRPr="00277B32" w:rsidRDefault="00272B64" w:rsidP="00F042EE">
            <w:pPr>
              <w:jc w:val="both"/>
            </w:pPr>
            <w:r w:rsidRPr="00277B32">
              <w:t>Sealing Test</w:t>
            </w:r>
          </w:p>
        </w:tc>
        <w:tc>
          <w:tcPr>
            <w:tcW w:w="5392" w:type="dxa"/>
          </w:tcPr>
          <w:p w:rsidR="00272B64" w:rsidRPr="00277B32" w:rsidRDefault="00272B64" w:rsidP="00F042EE">
            <w:pPr>
              <w:jc w:val="both"/>
            </w:pPr>
            <w:r w:rsidRPr="00277B32">
              <w:t xml:space="preserve">1.5 </w:t>
            </w:r>
            <w:proofErr w:type="gramStart"/>
            <w:r w:rsidRPr="00277B32">
              <w:t>x</w:t>
            </w:r>
            <w:proofErr w:type="gramEnd"/>
            <w:r w:rsidRPr="00277B32">
              <w:t xml:space="preserve"> PN, temperature between 15°C and 25°C with tolerance of ± 2C°, Sustained for 15 Seconds, No leaking.</w:t>
            </w:r>
          </w:p>
        </w:tc>
      </w:tr>
    </w:tbl>
    <w:p w:rsidR="00272B64" w:rsidRPr="00277B32" w:rsidRDefault="00272B64" w:rsidP="00272B64">
      <w:pPr>
        <w:ind w:left="720"/>
        <w:jc w:val="both"/>
      </w:pPr>
    </w:p>
    <w:p w:rsidR="00272B64" w:rsidRPr="00277B32" w:rsidRDefault="00272B64" w:rsidP="00272B64">
      <w:pPr>
        <w:ind w:firstLine="700"/>
        <w:jc w:val="both"/>
      </w:pPr>
      <w:r w:rsidRPr="00277B32">
        <w:rPr>
          <w:b/>
        </w:rPr>
        <w:t>2.9</w:t>
      </w:r>
      <w:r w:rsidRPr="00277B32">
        <w:tab/>
        <w:t xml:space="preserve">Full details of the vales should be given in schedule of particulars. </w:t>
      </w:r>
    </w:p>
    <w:p w:rsidR="00272B64" w:rsidRPr="00277B32" w:rsidRDefault="00272B64" w:rsidP="00272B64">
      <w:pPr>
        <w:jc w:val="both"/>
      </w:pPr>
    </w:p>
    <w:p w:rsidR="00272B64" w:rsidRPr="00277B32" w:rsidRDefault="00272B64" w:rsidP="00272B64">
      <w:pPr>
        <w:ind w:left="1435" w:hanging="735"/>
        <w:jc w:val="both"/>
      </w:pPr>
      <w:r w:rsidRPr="00277B32">
        <w:rPr>
          <w:b/>
        </w:rPr>
        <w:t>2.10</w:t>
      </w:r>
      <w:r w:rsidRPr="00277B32">
        <w:tab/>
        <w:t xml:space="preserve">Some of the salient features of the specifications are summarized above to furnish a quick reference. The tenderers are under obligations to refer the whole or relevant parts of the standards specified in their entirety prior to perfecting their tender documents, and will be deemed to have done so during the tendering stage.  </w:t>
      </w:r>
    </w:p>
    <w:p w:rsidR="00272B64" w:rsidRPr="00277B32" w:rsidRDefault="00272B64" w:rsidP="00272B64">
      <w:pPr>
        <w:jc w:val="both"/>
      </w:pPr>
    </w:p>
    <w:p w:rsidR="00272B64" w:rsidRPr="00277B32" w:rsidRDefault="00272B64" w:rsidP="00272B64">
      <w:pPr>
        <w:jc w:val="center"/>
        <w:rPr>
          <w:b/>
        </w:rPr>
      </w:pPr>
      <w:r w:rsidRPr="00277B32">
        <w:rPr>
          <w:b/>
        </w:rPr>
        <w:t>Extracts from EN 1452-</w:t>
      </w:r>
      <w:proofErr w:type="gramStart"/>
      <w:r w:rsidRPr="00277B32">
        <w:rPr>
          <w:b/>
        </w:rPr>
        <w:t>4 :</w:t>
      </w:r>
      <w:proofErr w:type="gramEnd"/>
      <w:r w:rsidRPr="00277B32">
        <w:rPr>
          <w:b/>
        </w:rPr>
        <w:t xml:space="preserve"> 1999</w:t>
      </w:r>
    </w:p>
    <w:p w:rsidR="00272B64" w:rsidRPr="00277B32" w:rsidRDefault="00272B64" w:rsidP="00272B64">
      <w:pPr>
        <w:jc w:val="center"/>
        <w:rPr>
          <w:b/>
        </w:rPr>
      </w:pPr>
    </w:p>
    <w:p w:rsidR="00272B64" w:rsidRPr="00277B32" w:rsidRDefault="00272B64" w:rsidP="00272B64">
      <w:pPr>
        <w:jc w:val="center"/>
        <w:rPr>
          <w:b/>
        </w:rPr>
      </w:pPr>
      <w:r w:rsidRPr="00277B32">
        <w:rPr>
          <w:b/>
        </w:rPr>
        <w:t>Table 10-Endurance properties</w:t>
      </w:r>
    </w:p>
    <w:p w:rsidR="00272B64" w:rsidRPr="00277B32" w:rsidRDefault="00272B64" w:rsidP="00272B64">
      <w:pPr>
        <w:jc w:val="cente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3060"/>
        <w:gridCol w:w="1800"/>
        <w:gridCol w:w="1223"/>
      </w:tblGrid>
      <w:tr w:rsidR="00272B64" w:rsidRPr="00277B32" w:rsidTr="00F042EE">
        <w:trPr>
          <w:trHeight w:val="332"/>
        </w:trPr>
        <w:tc>
          <w:tcPr>
            <w:tcW w:w="1728" w:type="dxa"/>
            <w:vMerge w:val="restart"/>
            <w:vAlign w:val="center"/>
          </w:tcPr>
          <w:p w:rsidR="00272B64" w:rsidRPr="00277B32" w:rsidRDefault="00272B64" w:rsidP="00F042EE">
            <w:pPr>
              <w:jc w:val="center"/>
              <w:rPr>
                <w:b/>
              </w:rPr>
            </w:pPr>
            <w:r w:rsidRPr="00277B32">
              <w:rPr>
                <w:b/>
              </w:rPr>
              <w:t>Characteristic</w:t>
            </w:r>
          </w:p>
        </w:tc>
        <w:tc>
          <w:tcPr>
            <w:tcW w:w="1800" w:type="dxa"/>
            <w:vMerge w:val="restart"/>
            <w:vAlign w:val="center"/>
          </w:tcPr>
          <w:p w:rsidR="00272B64" w:rsidRPr="00277B32" w:rsidRDefault="00272B64" w:rsidP="00F042EE">
            <w:pPr>
              <w:jc w:val="center"/>
              <w:rPr>
                <w:b/>
                <w:vertAlign w:val="superscript"/>
              </w:rPr>
            </w:pPr>
            <w:r w:rsidRPr="00277B32">
              <w:rPr>
                <w:b/>
              </w:rPr>
              <w:t xml:space="preserve">Requirement </w:t>
            </w:r>
            <w:r w:rsidRPr="00277B32">
              <w:rPr>
                <w:b/>
                <w:vertAlign w:val="superscript"/>
              </w:rPr>
              <w:t>1)</w:t>
            </w:r>
          </w:p>
        </w:tc>
        <w:tc>
          <w:tcPr>
            <w:tcW w:w="4860" w:type="dxa"/>
            <w:gridSpan w:val="2"/>
            <w:vAlign w:val="center"/>
          </w:tcPr>
          <w:p w:rsidR="00272B64" w:rsidRPr="00277B32" w:rsidRDefault="00272B64" w:rsidP="00F042EE">
            <w:pPr>
              <w:jc w:val="center"/>
              <w:rPr>
                <w:b/>
              </w:rPr>
            </w:pPr>
            <w:r w:rsidRPr="00277B32">
              <w:rPr>
                <w:b/>
              </w:rPr>
              <w:t>Test parameters</w:t>
            </w:r>
          </w:p>
        </w:tc>
        <w:tc>
          <w:tcPr>
            <w:tcW w:w="1223" w:type="dxa"/>
            <w:vMerge w:val="restart"/>
            <w:vAlign w:val="center"/>
          </w:tcPr>
          <w:p w:rsidR="00272B64" w:rsidRPr="00277B32" w:rsidRDefault="00272B64" w:rsidP="00F042EE">
            <w:pPr>
              <w:jc w:val="center"/>
              <w:rPr>
                <w:b/>
              </w:rPr>
            </w:pPr>
            <w:r w:rsidRPr="00277B32">
              <w:rPr>
                <w:b/>
              </w:rPr>
              <w:t>Test method</w:t>
            </w:r>
          </w:p>
        </w:tc>
      </w:tr>
      <w:tr w:rsidR="00272B64" w:rsidRPr="00277B32" w:rsidTr="00F042EE">
        <w:trPr>
          <w:trHeight w:val="170"/>
        </w:trPr>
        <w:tc>
          <w:tcPr>
            <w:tcW w:w="1728" w:type="dxa"/>
            <w:vMerge/>
          </w:tcPr>
          <w:p w:rsidR="00272B64" w:rsidRPr="00277B32" w:rsidRDefault="00272B64" w:rsidP="00F042EE">
            <w:pPr>
              <w:jc w:val="center"/>
            </w:pPr>
          </w:p>
        </w:tc>
        <w:tc>
          <w:tcPr>
            <w:tcW w:w="1800" w:type="dxa"/>
            <w:vMerge/>
          </w:tcPr>
          <w:p w:rsidR="00272B64" w:rsidRPr="00277B32" w:rsidRDefault="00272B64" w:rsidP="00F042EE">
            <w:pPr>
              <w:jc w:val="center"/>
            </w:pPr>
          </w:p>
        </w:tc>
        <w:tc>
          <w:tcPr>
            <w:tcW w:w="3060" w:type="dxa"/>
          </w:tcPr>
          <w:p w:rsidR="00272B64" w:rsidRPr="00277B32" w:rsidRDefault="00272B64" w:rsidP="00F042EE">
            <w:pPr>
              <w:jc w:val="center"/>
            </w:pPr>
            <w:r w:rsidRPr="00277B32">
              <w:t>parameter</w:t>
            </w:r>
          </w:p>
        </w:tc>
        <w:tc>
          <w:tcPr>
            <w:tcW w:w="1800" w:type="dxa"/>
          </w:tcPr>
          <w:p w:rsidR="00272B64" w:rsidRPr="00277B32" w:rsidRDefault="00272B64" w:rsidP="00F042EE">
            <w:pPr>
              <w:jc w:val="center"/>
            </w:pPr>
            <w:r w:rsidRPr="00277B32">
              <w:t>value</w:t>
            </w:r>
          </w:p>
        </w:tc>
        <w:tc>
          <w:tcPr>
            <w:tcW w:w="1223" w:type="dxa"/>
            <w:vMerge/>
          </w:tcPr>
          <w:p w:rsidR="00272B64" w:rsidRPr="00277B32" w:rsidRDefault="00272B64" w:rsidP="00F042EE">
            <w:pPr>
              <w:jc w:val="center"/>
            </w:pPr>
          </w:p>
        </w:tc>
      </w:tr>
      <w:tr w:rsidR="00272B64" w:rsidRPr="00277B32" w:rsidTr="00F042EE">
        <w:trPr>
          <w:trHeight w:val="2557"/>
        </w:trPr>
        <w:tc>
          <w:tcPr>
            <w:tcW w:w="1728" w:type="dxa"/>
          </w:tcPr>
          <w:p w:rsidR="00272B64" w:rsidRPr="00277B32" w:rsidRDefault="00272B64" w:rsidP="00F042EE">
            <w:r w:rsidRPr="00277B32">
              <w:t>Endurance</w:t>
            </w:r>
          </w:p>
        </w:tc>
        <w:tc>
          <w:tcPr>
            <w:tcW w:w="1800" w:type="dxa"/>
          </w:tcPr>
          <w:p w:rsidR="00272B64" w:rsidRPr="00277B32" w:rsidRDefault="00272B64" w:rsidP="00F042EE">
            <w:r w:rsidRPr="00277B32">
              <w:t>No leakage or</w:t>
            </w:r>
          </w:p>
          <w:p w:rsidR="00272B64" w:rsidRPr="00277B32" w:rsidRDefault="00272B64" w:rsidP="00F042EE">
            <w:r w:rsidRPr="00277B32">
              <w:t>fracture during</w:t>
            </w:r>
          </w:p>
          <w:p w:rsidR="00272B64" w:rsidRPr="00277B32" w:rsidRDefault="00272B64" w:rsidP="00F042EE">
            <w:r w:rsidRPr="00277B32">
              <w:t>test period</w:t>
            </w:r>
          </w:p>
        </w:tc>
        <w:tc>
          <w:tcPr>
            <w:tcW w:w="3060" w:type="dxa"/>
          </w:tcPr>
          <w:p w:rsidR="00272B64" w:rsidRPr="00277B32" w:rsidRDefault="00272B64" w:rsidP="00F042EE">
            <w:r w:rsidRPr="00277B32">
              <w:t>Fluid inside</w:t>
            </w:r>
          </w:p>
          <w:p w:rsidR="00272B64" w:rsidRPr="00277B32" w:rsidRDefault="00272B64" w:rsidP="00F042EE">
            <w:r w:rsidRPr="00277B32">
              <w:t>internal pressure</w:t>
            </w:r>
          </w:p>
          <w:p w:rsidR="00272B64" w:rsidRPr="00277B32" w:rsidRDefault="00272B64" w:rsidP="00F042EE">
            <w:r w:rsidRPr="00277B32">
              <w:t xml:space="preserve"> flow velocity </w:t>
            </w:r>
          </w:p>
          <w:p w:rsidR="00272B64" w:rsidRPr="00277B32" w:rsidRDefault="00272B64" w:rsidP="00F042EE">
            <w:r w:rsidRPr="00277B32">
              <w:t>Tightening of gland package</w:t>
            </w:r>
          </w:p>
          <w:p w:rsidR="00272B64" w:rsidRPr="00277B32" w:rsidRDefault="00272B64" w:rsidP="00F042EE">
            <w:r w:rsidRPr="00277B32">
              <w:t xml:space="preserve">Ambient temperature </w:t>
            </w:r>
          </w:p>
          <w:p w:rsidR="00272B64" w:rsidRPr="00277B32" w:rsidRDefault="00272B64" w:rsidP="00F042EE"/>
          <w:p w:rsidR="00272B64" w:rsidRPr="00277B32" w:rsidRDefault="00272B64" w:rsidP="00F042EE">
            <w:r w:rsidRPr="00277B32">
              <w:t>Number of test pieces</w:t>
            </w:r>
          </w:p>
          <w:p w:rsidR="00272B64" w:rsidRPr="00277B32" w:rsidRDefault="00272B64" w:rsidP="00F042EE"/>
          <w:p w:rsidR="00272B64" w:rsidRPr="00277B32" w:rsidRDefault="00272B64" w:rsidP="00F042EE">
            <w:r w:rsidRPr="00277B32">
              <w:t>Duration</w:t>
            </w:r>
          </w:p>
        </w:tc>
        <w:tc>
          <w:tcPr>
            <w:tcW w:w="1800" w:type="dxa"/>
          </w:tcPr>
          <w:p w:rsidR="00272B64" w:rsidRPr="00277B32" w:rsidRDefault="00272B64" w:rsidP="00F042EE">
            <w:r w:rsidRPr="00277B32">
              <w:t>Water</w:t>
            </w:r>
          </w:p>
          <w:p w:rsidR="00272B64" w:rsidRPr="00277B32" w:rsidRDefault="00272B64" w:rsidP="00F042EE">
            <w:r w:rsidRPr="00277B32">
              <w:t>Equal to PN</w:t>
            </w:r>
          </w:p>
          <w:p w:rsidR="00272B64" w:rsidRPr="00277B32" w:rsidRDefault="00272B64" w:rsidP="00F042EE">
            <w:r w:rsidRPr="00277B32">
              <w:t>1 m/s</w:t>
            </w:r>
          </w:p>
          <w:p w:rsidR="00272B64" w:rsidRPr="00277B32" w:rsidRDefault="00272B64" w:rsidP="00F042EE">
            <w:r w:rsidRPr="00277B32">
              <w:t xml:space="preserve">Allowed </w:t>
            </w:r>
          </w:p>
          <w:p w:rsidR="00272B64" w:rsidRPr="00277B32" w:rsidRDefault="00272B64" w:rsidP="00F042EE">
            <w:r w:rsidRPr="00277B32">
              <w:t>(15 ±5) ºC to</w:t>
            </w:r>
          </w:p>
          <w:p w:rsidR="00272B64" w:rsidRPr="00277B32" w:rsidRDefault="00272B64" w:rsidP="00F042EE">
            <w:r w:rsidRPr="00277B32">
              <w:t>(25± 5) ºC</w:t>
            </w:r>
          </w:p>
          <w:p w:rsidR="00272B64" w:rsidRPr="00277B32" w:rsidRDefault="00272B64" w:rsidP="00F042EE">
            <w:r w:rsidRPr="00277B32">
              <w:t>Shall conform to ENV 1452-7 1000 cycles</w:t>
            </w:r>
          </w:p>
        </w:tc>
        <w:tc>
          <w:tcPr>
            <w:tcW w:w="1223" w:type="dxa"/>
          </w:tcPr>
          <w:p w:rsidR="00272B64" w:rsidRPr="00277B32" w:rsidRDefault="00272B64" w:rsidP="00F042EE">
            <w:r w:rsidRPr="00277B32">
              <w:t>EN 28659</w:t>
            </w:r>
          </w:p>
        </w:tc>
      </w:tr>
      <w:tr w:rsidR="00272B64" w:rsidRPr="00277B32" w:rsidTr="00F042EE">
        <w:trPr>
          <w:trHeight w:val="332"/>
        </w:trPr>
        <w:tc>
          <w:tcPr>
            <w:tcW w:w="9611" w:type="dxa"/>
            <w:gridSpan w:val="5"/>
            <w:vAlign w:val="center"/>
          </w:tcPr>
          <w:p w:rsidR="00272B64" w:rsidRPr="00277B32" w:rsidRDefault="00272B64" w:rsidP="00F042EE">
            <w:pPr>
              <w:jc w:val="center"/>
            </w:pPr>
            <w:r w:rsidRPr="00277B32">
              <w:t>1) Directly after this endurance test the test pieces shall be tested in accordance with seat and packing test</w:t>
            </w:r>
          </w:p>
          <w:p w:rsidR="00272B64" w:rsidRPr="00277B32" w:rsidRDefault="00272B64" w:rsidP="00F042EE"/>
        </w:tc>
      </w:tr>
    </w:tbl>
    <w:p w:rsidR="00272B64" w:rsidRPr="00277B32" w:rsidRDefault="00272B64" w:rsidP="00272B64">
      <w:pPr>
        <w:jc w:val="center"/>
      </w:pPr>
    </w:p>
    <w:p w:rsidR="00272B64" w:rsidRPr="00277B32" w:rsidRDefault="00272B64" w:rsidP="00272B64">
      <w:pPr>
        <w:jc w:val="center"/>
      </w:pPr>
    </w:p>
    <w:p w:rsidR="00272B64" w:rsidRPr="00277B32" w:rsidRDefault="00272B64" w:rsidP="00272B64">
      <w:pPr>
        <w:jc w:val="center"/>
        <w:rPr>
          <w:b/>
        </w:rPr>
      </w:pPr>
      <w:r w:rsidRPr="00277B32">
        <w:rPr>
          <w:b/>
        </w:rPr>
        <w:t>Table 12- Conditions for seat and packing test</w:t>
      </w:r>
    </w:p>
    <w:p w:rsidR="00272B64" w:rsidRPr="00277B32" w:rsidRDefault="00272B64" w:rsidP="00272B64">
      <w:pPr>
        <w:jc w:val="cente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174"/>
        <w:gridCol w:w="2230"/>
        <w:gridCol w:w="1674"/>
        <w:gridCol w:w="1224"/>
      </w:tblGrid>
      <w:tr w:rsidR="00272B64" w:rsidRPr="00277B32" w:rsidTr="00F042EE">
        <w:trPr>
          <w:trHeight w:val="323"/>
        </w:trPr>
        <w:tc>
          <w:tcPr>
            <w:tcW w:w="1824" w:type="dxa"/>
            <w:vMerge w:val="restart"/>
            <w:vAlign w:val="center"/>
          </w:tcPr>
          <w:p w:rsidR="00272B64" w:rsidRPr="00277B32" w:rsidRDefault="00272B64" w:rsidP="00F042EE">
            <w:pPr>
              <w:jc w:val="center"/>
              <w:rPr>
                <w:b/>
              </w:rPr>
            </w:pPr>
            <w:r w:rsidRPr="00277B32">
              <w:rPr>
                <w:b/>
              </w:rPr>
              <w:t>Characteristic</w:t>
            </w:r>
          </w:p>
        </w:tc>
        <w:tc>
          <w:tcPr>
            <w:tcW w:w="2174" w:type="dxa"/>
            <w:vMerge w:val="restart"/>
            <w:vAlign w:val="center"/>
          </w:tcPr>
          <w:p w:rsidR="00272B64" w:rsidRPr="00277B32" w:rsidRDefault="00272B64" w:rsidP="00F042EE">
            <w:pPr>
              <w:jc w:val="center"/>
              <w:rPr>
                <w:b/>
              </w:rPr>
            </w:pPr>
            <w:r w:rsidRPr="00277B32">
              <w:rPr>
                <w:b/>
              </w:rPr>
              <w:t>Requirement</w:t>
            </w:r>
          </w:p>
        </w:tc>
        <w:tc>
          <w:tcPr>
            <w:tcW w:w="3904" w:type="dxa"/>
            <w:gridSpan w:val="2"/>
            <w:vAlign w:val="center"/>
          </w:tcPr>
          <w:p w:rsidR="00272B64" w:rsidRPr="00277B32" w:rsidRDefault="00272B64" w:rsidP="00F042EE">
            <w:pPr>
              <w:jc w:val="center"/>
              <w:rPr>
                <w:b/>
              </w:rPr>
            </w:pPr>
            <w:r w:rsidRPr="00277B32">
              <w:rPr>
                <w:b/>
              </w:rPr>
              <w:t>Test parameters</w:t>
            </w:r>
          </w:p>
        </w:tc>
        <w:tc>
          <w:tcPr>
            <w:tcW w:w="1224" w:type="dxa"/>
            <w:vMerge w:val="restart"/>
            <w:vAlign w:val="center"/>
          </w:tcPr>
          <w:p w:rsidR="00272B64" w:rsidRPr="00277B32" w:rsidRDefault="00272B64" w:rsidP="00F042EE">
            <w:pPr>
              <w:jc w:val="center"/>
              <w:rPr>
                <w:b/>
              </w:rPr>
            </w:pPr>
            <w:r w:rsidRPr="00277B32">
              <w:rPr>
                <w:b/>
              </w:rPr>
              <w:t>Test method</w:t>
            </w:r>
          </w:p>
        </w:tc>
      </w:tr>
      <w:tr w:rsidR="00272B64" w:rsidRPr="00277B32" w:rsidTr="00F042EE">
        <w:trPr>
          <w:trHeight w:val="70"/>
        </w:trPr>
        <w:tc>
          <w:tcPr>
            <w:tcW w:w="1824" w:type="dxa"/>
            <w:vMerge/>
            <w:tcBorders>
              <w:bottom w:val="single" w:sz="4" w:space="0" w:color="auto"/>
            </w:tcBorders>
          </w:tcPr>
          <w:p w:rsidR="00272B64" w:rsidRPr="00277B32" w:rsidRDefault="00272B64" w:rsidP="00F042EE">
            <w:pPr>
              <w:jc w:val="center"/>
            </w:pPr>
          </w:p>
        </w:tc>
        <w:tc>
          <w:tcPr>
            <w:tcW w:w="2174" w:type="dxa"/>
            <w:vMerge/>
          </w:tcPr>
          <w:p w:rsidR="00272B64" w:rsidRPr="00277B32" w:rsidRDefault="00272B64" w:rsidP="00F042EE">
            <w:pPr>
              <w:jc w:val="center"/>
            </w:pPr>
          </w:p>
        </w:tc>
        <w:tc>
          <w:tcPr>
            <w:tcW w:w="2230" w:type="dxa"/>
          </w:tcPr>
          <w:p w:rsidR="00272B64" w:rsidRPr="00277B32" w:rsidRDefault="00272B64" w:rsidP="00F042EE">
            <w:pPr>
              <w:jc w:val="center"/>
            </w:pPr>
            <w:r w:rsidRPr="00277B32">
              <w:t>Parameter</w:t>
            </w:r>
          </w:p>
        </w:tc>
        <w:tc>
          <w:tcPr>
            <w:tcW w:w="1674" w:type="dxa"/>
          </w:tcPr>
          <w:p w:rsidR="00272B64" w:rsidRPr="00277B32" w:rsidRDefault="00272B64" w:rsidP="00F042EE">
            <w:pPr>
              <w:jc w:val="center"/>
            </w:pPr>
            <w:r w:rsidRPr="00277B32">
              <w:t>Value</w:t>
            </w:r>
          </w:p>
        </w:tc>
        <w:tc>
          <w:tcPr>
            <w:tcW w:w="1224" w:type="dxa"/>
            <w:vMerge/>
          </w:tcPr>
          <w:p w:rsidR="00272B64" w:rsidRPr="00277B32" w:rsidRDefault="00272B64" w:rsidP="00F042EE">
            <w:pPr>
              <w:jc w:val="center"/>
            </w:pPr>
          </w:p>
        </w:tc>
      </w:tr>
      <w:tr w:rsidR="00272B64" w:rsidRPr="00277B32" w:rsidTr="00F042EE">
        <w:trPr>
          <w:trHeight w:val="1445"/>
        </w:trPr>
        <w:tc>
          <w:tcPr>
            <w:tcW w:w="1824" w:type="dxa"/>
          </w:tcPr>
          <w:p w:rsidR="00272B64" w:rsidRPr="00277B32" w:rsidRDefault="00272B64" w:rsidP="00F042EE">
            <w:r w:rsidRPr="00277B32">
              <w:t xml:space="preserve">Seat </w:t>
            </w:r>
          </w:p>
          <w:p w:rsidR="00272B64" w:rsidRPr="00277B32" w:rsidRDefault="00272B64" w:rsidP="00F042EE">
            <w:r w:rsidRPr="00277B32">
              <w:t>Leak tightness: valve closed</w:t>
            </w:r>
          </w:p>
          <w:p w:rsidR="00272B64" w:rsidRPr="00277B32" w:rsidRDefault="00131056" w:rsidP="00F042EE">
            <w:r>
              <w:rPr>
                <w:noProof/>
                <w:lang w:eastAsia="zh-CN" w:bidi="si-LK"/>
              </w:rPr>
              <w:pict>
                <v:line id="Straight Connector 2" o:spid="_x0000_s1026" style="position:absolute;z-index:251659264;visibility:visible" from="-6pt,11.3pt" to="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"/>
              </w:pict>
            </w:r>
          </w:p>
          <w:p w:rsidR="00272B64" w:rsidRPr="00277B32" w:rsidRDefault="00272B64" w:rsidP="00F042EE">
            <w:r w:rsidRPr="00277B32">
              <w:t>Packing</w:t>
            </w:r>
          </w:p>
          <w:p w:rsidR="00272B64" w:rsidRPr="00277B32" w:rsidRDefault="00272B64" w:rsidP="00F042EE">
            <w:r w:rsidRPr="00277B32">
              <w:t>Leak tightness: valve open</w:t>
            </w:r>
          </w:p>
        </w:tc>
        <w:tc>
          <w:tcPr>
            <w:tcW w:w="2174" w:type="dxa"/>
          </w:tcPr>
          <w:p w:rsidR="00272B64" w:rsidRPr="00277B32" w:rsidRDefault="00272B64" w:rsidP="00F042EE">
            <w:r w:rsidRPr="00277B32">
              <w:t>No leakage during the test period</w:t>
            </w:r>
          </w:p>
        </w:tc>
        <w:tc>
          <w:tcPr>
            <w:tcW w:w="2230" w:type="dxa"/>
          </w:tcPr>
          <w:p w:rsidR="00272B64" w:rsidRPr="00277B32" w:rsidRDefault="00272B64" w:rsidP="00F042EE">
            <w:r w:rsidRPr="00277B32">
              <w:t>Fluid inside</w:t>
            </w:r>
          </w:p>
          <w:p w:rsidR="00272B64" w:rsidRPr="00277B32" w:rsidRDefault="00272B64" w:rsidP="00F042EE">
            <w:r w:rsidRPr="00277B32">
              <w:t>Fluid out side</w:t>
            </w:r>
          </w:p>
          <w:p w:rsidR="00272B64" w:rsidRPr="00277B32" w:rsidRDefault="00272B64" w:rsidP="00F042EE">
            <w:r w:rsidRPr="00277B32">
              <w:t>Internal pressure</w:t>
            </w:r>
          </w:p>
          <w:p w:rsidR="00272B64" w:rsidRPr="00277B32" w:rsidRDefault="00272B64" w:rsidP="00F042EE"/>
          <w:p w:rsidR="00272B64" w:rsidRPr="00277B32" w:rsidRDefault="00272B64" w:rsidP="00F042EE">
            <w:r w:rsidRPr="00277B32">
              <w:t>Conditioning period</w:t>
            </w:r>
          </w:p>
          <w:p w:rsidR="00272B64" w:rsidRPr="00277B32" w:rsidRDefault="00272B64" w:rsidP="00F042EE">
            <w:r w:rsidRPr="00277B32">
              <w:t xml:space="preserve">Ambient temperature </w:t>
            </w:r>
          </w:p>
          <w:p w:rsidR="00272B64" w:rsidRPr="00277B32" w:rsidRDefault="00272B64" w:rsidP="00F042EE"/>
          <w:p w:rsidR="00272B64" w:rsidRPr="00277B32" w:rsidRDefault="00272B64" w:rsidP="00F042EE">
            <w:r w:rsidRPr="00277B32">
              <w:t>Test period</w:t>
            </w:r>
          </w:p>
        </w:tc>
        <w:tc>
          <w:tcPr>
            <w:tcW w:w="1674" w:type="dxa"/>
          </w:tcPr>
          <w:p w:rsidR="00272B64" w:rsidRPr="00277B32" w:rsidRDefault="00272B64" w:rsidP="00F042EE">
            <w:r w:rsidRPr="00277B32">
              <w:t>Water</w:t>
            </w:r>
          </w:p>
          <w:p w:rsidR="00272B64" w:rsidRPr="00277B32" w:rsidRDefault="00272B64" w:rsidP="00F042EE">
            <w:r w:rsidRPr="00277B32">
              <w:t>Air</w:t>
            </w:r>
          </w:p>
          <w:p w:rsidR="00272B64" w:rsidRPr="00277B32" w:rsidRDefault="00272B64" w:rsidP="00F042EE">
            <w:r w:rsidRPr="00277B32">
              <w:t>1.5 x [PN]</w:t>
            </w:r>
            <w:r w:rsidRPr="00277B32">
              <w:rPr>
                <w:vertAlign w:val="superscript"/>
              </w:rPr>
              <w:t>1)</w:t>
            </w:r>
          </w:p>
          <w:p w:rsidR="00272B64" w:rsidRPr="00277B32" w:rsidRDefault="00272B64" w:rsidP="00F042EE"/>
          <w:p w:rsidR="00272B64" w:rsidRPr="00277B32" w:rsidRDefault="00272B64" w:rsidP="00F042EE">
            <w:r w:rsidRPr="00277B32">
              <w:t>1h</w:t>
            </w:r>
          </w:p>
          <w:p w:rsidR="00272B64" w:rsidRPr="00277B32" w:rsidRDefault="00272B64" w:rsidP="00F042EE">
            <w:r w:rsidRPr="00277B32">
              <w:t xml:space="preserve">(15 ± 5)º C to (25 ±  5) º C </w:t>
            </w:r>
          </w:p>
          <w:p w:rsidR="00272B64" w:rsidRPr="00277B32" w:rsidRDefault="00272B64" w:rsidP="00F042EE"/>
          <w:p w:rsidR="00272B64" w:rsidRPr="00277B32" w:rsidRDefault="00272B64" w:rsidP="00F042EE">
            <w:r w:rsidRPr="00277B32">
              <w:t>1 min</w:t>
            </w:r>
          </w:p>
        </w:tc>
        <w:tc>
          <w:tcPr>
            <w:tcW w:w="1224" w:type="dxa"/>
          </w:tcPr>
          <w:p w:rsidR="00272B64" w:rsidRPr="00277B32" w:rsidRDefault="00272B64" w:rsidP="00F042EE">
            <w:r w:rsidRPr="00277B32">
              <w:t>Method B</w:t>
            </w:r>
          </w:p>
          <w:p w:rsidR="00272B64" w:rsidRPr="00277B32" w:rsidRDefault="00272B64" w:rsidP="00F042EE">
            <w:r w:rsidRPr="00277B32">
              <w:t>of EN917:</w:t>
            </w:r>
          </w:p>
          <w:p w:rsidR="00272B64" w:rsidRPr="00277B32" w:rsidRDefault="00272B64" w:rsidP="00F042EE">
            <w:r w:rsidRPr="00277B32">
              <w:t>1997</w:t>
            </w:r>
          </w:p>
        </w:tc>
      </w:tr>
      <w:tr w:rsidR="00272B64" w:rsidRPr="00277B32" w:rsidTr="00F042EE">
        <w:trPr>
          <w:trHeight w:val="368"/>
        </w:trPr>
        <w:tc>
          <w:tcPr>
            <w:tcW w:w="9126" w:type="dxa"/>
            <w:gridSpan w:val="5"/>
          </w:tcPr>
          <w:p w:rsidR="00272B64" w:rsidRPr="00277B32" w:rsidRDefault="00272B64" w:rsidP="00F042EE">
            <w:r w:rsidRPr="00277B32">
              <w:t>1) Maximum test pressure ([PN] +5) bar.</w:t>
            </w:r>
          </w:p>
        </w:tc>
      </w:tr>
    </w:tbl>
    <w:p w:rsidR="00272B64" w:rsidRPr="00277B32" w:rsidRDefault="00272B64" w:rsidP="00272B64">
      <w:pPr>
        <w:jc w:val="center"/>
      </w:pPr>
    </w:p>
    <w:p w:rsidR="007F7CF0" w:rsidRPr="00277B32" w:rsidRDefault="007F7CF0" w:rsidP="00BC01D1"/>
    <w:sectPr w:rsidR="007F7CF0" w:rsidRPr="00277B32" w:rsidSect="00272B64">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56" w:rsidRDefault="00131056" w:rsidP="00272B64">
      <w:r>
        <w:separator/>
      </w:r>
    </w:p>
  </w:endnote>
  <w:endnote w:type="continuationSeparator" w:id="0">
    <w:p w:rsidR="00131056" w:rsidRDefault="00131056" w:rsidP="0027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F4" w:rsidRDefault="00131056" w:rsidP="00026BF4">
    <w:pPr>
      <w:pStyle w:val="Footer"/>
    </w:pPr>
  </w:p>
  <w:p w:rsidR="00026BF4" w:rsidRDefault="00131056" w:rsidP="00026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64" w:rsidRPr="00C16246" w:rsidRDefault="00272B64" w:rsidP="00272B64">
    <w:pPr>
      <w:pStyle w:val="Footer"/>
      <w:pBdr>
        <w:top w:val="single" w:sz="4" w:space="1" w:color="auto"/>
      </w:pBdr>
      <w:rPr>
        <w:sz w:val="16"/>
        <w:szCs w:val="16"/>
      </w:rPr>
    </w:pPr>
    <w:r>
      <w:rPr>
        <w:sz w:val="16"/>
        <w:szCs w:val="16"/>
      </w:rPr>
      <w:t>NWSDB/Specification for Ball Valves</w:t>
    </w:r>
    <w:r>
      <w:rPr>
        <w:sz w:val="16"/>
        <w:szCs w:val="16"/>
      </w:rPr>
      <w:tab/>
    </w:r>
    <w:r w:rsidRPr="00C16246">
      <w:t>6</w:t>
    </w:r>
    <w:r>
      <w:t>p</w:t>
    </w:r>
    <w:r w:rsidRPr="00C16246">
      <w:t>-</w:t>
    </w:r>
    <w:r w:rsidR="00F542AB" w:rsidRPr="00C16246">
      <w:rPr>
        <w:rStyle w:val="PageNumber"/>
      </w:rPr>
      <w:fldChar w:fldCharType="begin"/>
    </w:r>
    <w:r w:rsidRPr="00C16246">
      <w:rPr>
        <w:rStyle w:val="PageNumber"/>
      </w:rPr>
      <w:instrText xml:space="preserve">PAGE  </w:instrText>
    </w:r>
    <w:r w:rsidR="00F542AB" w:rsidRPr="00C16246">
      <w:rPr>
        <w:rStyle w:val="PageNumber"/>
      </w:rPr>
      <w:fldChar w:fldCharType="separate"/>
    </w:r>
    <w:r w:rsidR="00314A44">
      <w:rPr>
        <w:rStyle w:val="PageNumber"/>
      </w:rPr>
      <w:t>1</w:t>
    </w:r>
    <w:r w:rsidR="00F542AB" w:rsidRPr="00C16246">
      <w:rPr>
        <w:rStyle w:val="PageNumber"/>
      </w:rPr>
      <w:fldChar w:fldCharType="end"/>
    </w:r>
  </w:p>
  <w:p w:rsidR="00272B64" w:rsidRPr="00DE6C48" w:rsidRDefault="00272B64" w:rsidP="00272B64">
    <w:pPr>
      <w:pStyle w:val="Footer"/>
      <w:rPr>
        <w:sz w:val="16"/>
        <w:szCs w:val="16"/>
      </w:rPr>
    </w:pPr>
    <w:r>
      <w:rPr>
        <w:sz w:val="16"/>
        <w:szCs w:val="16"/>
      </w:rPr>
      <w:t xml:space="preserve">CAPC : MPC  : </w:t>
    </w:r>
    <w:r w:rsidRPr="00C16246">
      <w:rPr>
        <w:sz w:val="16"/>
        <w:szCs w:val="16"/>
      </w:rPr>
      <w:t>DPC :</w:t>
    </w:r>
    <w:r>
      <w:rPr>
        <w:sz w:val="16"/>
        <w:szCs w:val="16"/>
      </w:rPr>
      <w:t xml:space="preserve"> PPC : RPC - June  2013    </w:t>
    </w:r>
  </w:p>
  <w:p w:rsidR="00272B64" w:rsidRDefault="00272B64" w:rsidP="00026BF4">
    <w:pPr>
      <w:pStyle w:val="Footer"/>
    </w:pPr>
  </w:p>
  <w:p w:rsidR="00272B64" w:rsidRDefault="00272B64" w:rsidP="0002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56" w:rsidRDefault="00131056" w:rsidP="00272B64">
      <w:r>
        <w:separator/>
      </w:r>
    </w:p>
  </w:footnote>
  <w:footnote w:type="continuationSeparator" w:id="0">
    <w:p w:rsidR="00131056" w:rsidRDefault="00131056" w:rsidP="00272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3C7F"/>
    <w:multiLevelType w:val="multilevel"/>
    <w:tmpl w:val="BD726A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94208CC"/>
    <w:multiLevelType w:val="hybridMultilevel"/>
    <w:tmpl w:val="3ACE6EE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
    <w:nsid w:val="30B41D5D"/>
    <w:multiLevelType w:val="multilevel"/>
    <w:tmpl w:val="468E20D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520"/>
        </w:tabs>
        <w:ind w:left="3520" w:hanging="72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280"/>
        </w:tabs>
        <w:ind w:left="5280" w:hanging="108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040"/>
        </w:tabs>
        <w:ind w:left="7040" w:hanging="1440"/>
      </w:pPr>
      <w:rPr>
        <w:rFonts w:hint="default"/>
      </w:rPr>
    </w:lvl>
  </w:abstractNum>
  <w:abstractNum w:abstractNumId="3">
    <w:nsid w:val="3E504D8D"/>
    <w:multiLevelType w:val="hybridMultilevel"/>
    <w:tmpl w:val="E88602C6"/>
    <w:lvl w:ilvl="0" w:tplc="DFA2FC8A">
      <w:start w:val="3"/>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0ED7F32"/>
    <w:multiLevelType w:val="hybridMultilevel"/>
    <w:tmpl w:val="5FFA86C0"/>
    <w:lvl w:ilvl="0" w:tplc="13DE715C">
      <w:start w:val="1"/>
      <w:numFmt w:val="decimal"/>
      <w:lvlText w:val="%1."/>
      <w:lvlJc w:val="left"/>
      <w:pPr>
        <w:tabs>
          <w:tab w:val="num" w:pos="3780"/>
        </w:tabs>
        <w:ind w:left="3780" w:hanging="360"/>
      </w:pPr>
      <w:rPr>
        <w:rFonts w:hint="default"/>
        <w:b w:val="0"/>
      </w:rPr>
    </w:lvl>
    <w:lvl w:ilvl="1" w:tplc="0409000F">
      <w:start w:val="1"/>
      <w:numFmt w:val="decimal"/>
      <w:lvlText w:val="%2."/>
      <w:lvlJc w:val="left"/>
      <w:pPr>
        <w:tabs>
          <w:tab w:val="num" w:pos="4500"/>
        </w:tabs>
        <w:ind w:left="4500" w:hanging="360"/>
      </w:pPr>
      <w:rPr>
        <w:rFonts w:hint="default"/>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5">
    <w:nsid w:val="53BA4EB2"/>
    <w:multiLevelType w:val="hybridMultilevel"/>
    <w:tmpl w:val="B128C4B0"/>
    <w:lvl w:ilvl="0" w:tplc="0F22E52C">
      <w:start w:val="1"/>
      <w:numFmt w:val="decimal"/>
      <w:lvlText w:val="%1."/>
      <w:lvlJc w:val="left"/>
      <w:pPr>
        <w:tabs>
          <w:tab w:val="num" w:pos="1440"/>
        </w:tabs>
        <w:ind w:left="1440" w:hanging="540"/>
      </w:pPr>
      <w:rPr>
        <w:rFonts w:hint="default"/>
      </w:rPr>
    </w:lvl>
    <w:lvl w:ilvl="1" w:tplc="8D84ACAC">
      <w:numFmt w:val="none"/>
      <w:lvlText w:val=""/>
      <w:lvlJc w:val="left"/>
      <w:pPr>
        <w:tabs>
          <w:tab w:val="num" w:pos="360"/>
        </w:tabs>
      </w:pPr>
    </w:lvl>
    <w:lvl w:ilvl="2" w:tplc="B9882FA6">
      <w:numFmt w:val="none"/>
      <w:lvlText w:val=""/>
      <w:lvlJc w:val="left"/>
      <w:pPr>
        <w:tabs>
          <w:tab w:val="num" w:pos="360"/>
        </w:tabs>
      </w:pPr>
    </w:lvl>
    <w:lvl w:ilvl="3" w:tplc="676E7072">
      <w:numFmt w:val="none"/>
      <w:lvlText w:val=""/>
      <w:lvlJc w:val="left"/>
      <w:pPr>
        <w:tabs>
          <w:tab w:val="num" w:pos="360"/>
        </w:tabs>
      </w:pPr>
    </w:lvl>
    <w:lvl w:ilvl="4" w:tplc="699E5BF8">
      <w:numFmt w:val="none"/>
      <w:lvlText w:val=""/>
      <w:lvlJc w:val="left"/>
      <w:pPr>
        <w:tabs>
          <w:tab w:val="num" w:pos="360"/>
        </w:tabs>
      </w:pPr>
    </w:lvl>
    <w:lvl w:ilvl="5" w:tplc="8E82773C">
      <w:numFmt w:val="none"/>
      <w:lvlText w:val=""/>
      <w:lvlJc w:val="left"/>
      <w:pPr>
        <w:tabs>
          <w:tab w:val="num" w:pos="360"/>
        </w:tabs>
      </w:pPr>
    </w:lvl>
    <w:lvl w:ilvl="6" w:tplc="9E883620">
      <w:numFmt w:val="none"/>
      <w:lvlText w:val=""/>
      <w:lvlJc w:val="left"/>
      <w:pPr>
        <w:tabs>
          <w:tab w:val="num" w:pos="360"/>
        </w:tabs>
      </w:pPr>
    </w:lvl>
    <w:lvl w:ilvl="7" w:tplc="CB82C3EE">
      <w:numFmt w:val="none"/>
      <w:lvlText w:val=""/>
      <w:lvlJc w:val="left"/>
      <w:pPr>
        <w:tabs>
          <w:tab w:val="num" w:pos="360"/>
        </w:tabs>
      </w:pPr>
    </w:lvl>
    <w:lvl w:ilvl="8" w:tplc="3490CF04">
      <w:numFmt w:val="none"/>
      <w:lvlText w:val=""/>
      <w:lvlJc w:val="left"/>
      <w:pPr>
        <w:tabs>
          <w:tab w:val="num" w:pos="360"/>
        </w:tabs>
      </w:pPr>
    </w:lvl>
  </w:abstractNum>
  <w:abstractNum w:abstractNumId="6">
    <w:nsid w:val="66755543"/>
    <w:multiLevelType w:val="multilevel"/>
    <w:tmpl w:val="98E050B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1160"/>
        </w:tabs>
        <w:ind w:left="1160" w:hanging="360"/>
      </w:pPr>
      <w:rPr>
        <w:rFonts w:hint="default"/>
        <w:u w:val="none"/>
      </w:rPr>
    </w:lvl>
    <w:lvl w:ilvl="2">
      <w:start w:val="1"/>
      <w:numFmt w:val="decimal"/>
      <w:lvlText w:val="%1.%2.%3"/>
      <w:lvlJc w:val="left"/>
      <w:pPr>
        <w:tabs>
          <w:tab w:val="num" w:pos="2120"/>
        </w:tabs>
        <w:ind w:left="2120" w:hanging="720"/>
      </w:pPr>
      <w:rPr>
        <w:rFonts w:hint="default"/>
        <w:u w:val="single"/>
      </w:rPr>
    </w:lvl>
    <w:lvl w:ilvl="3">
      <w:start w:val="1"/>
      <w:numFmt w:val="decimal"/>
      <w:lvlText w:val="%1.%2.%3.%4"/>
      <w:lvlJc w:val="left"/>
      <w:pPr>
        <w:tabs>
          <w:tab w:val="num" w:pos="2820"/>
        </w:tabs>
        <w:ind w:left="2820" w:hanging="720"/>
      </w:pPr>
      <w:rPr>
        <w:rFonts w:hint="default"/>
        <w:u w:val="single"/>
      </w:rPr>
    </w:lvl>
    <w:lvl w:ilvl="4">
      <w:start w:val="1"/>
      <w:numFmt w:val="decimal"/>
      <w:lvlText w:val="%1.%2.%3.%4.%5"/>
      <w:lvlJc w:val="left"/>
      <w:pPr>
        <w:tabs>
          <w:tab w:val="num" w:pos="3520"/>
        </w:tabs>
        <w:ind w:left="3520" w:hanging="720"/>
      </w:pPr>
      <w:rPr>
        <w:rFonts w:hint="default"/>
        <w:u w:val="single"/>
      </w:rPr>
    </w:lvl>
    <w:lvl w:ilvl="5">
      <w:start w:val="1"/>
      <w:numFmt w:val="decimal"/>
      <w:lvlText w:val="%1.%2.%3.%4.%5.%6"/>
      <w:lvlJc w:val="left"/>
      <w:pPr>
        <w:tabs>
          <w:tab w:val="num" w:pos="4580"/>
        </w:tabs>
        <w:ind w:left="4580" w:hanging="1080"/>
      </w:pPr>
      <w:rPr>
        <w:rFonts w:hint="default"/>
        <w:u w:val="single"/>
      </w:rPr>
    </w:lvl>
    <w:lvl w:ilvl="6">
      <w:start w:val="1"/>
      <w:numFmt w:val="decimal"/>
      <w:lvlText w:val="%1.%2.%3.%4.%5.%6.%7"/>
      <w:lvlJc w:val="left"/>
      <w:pPr>
        <w:tabs>
          <w:tab w:val="num" w:pos="5280"/>
        </w:tabs>
        <w:ind w:left="5280" w:hanging="1080"/>
      </w:pPr>
      <w:rPr>
        <w:rFonts w:hint="default"/>
        <w:u w:val="single"/>
      </w:rPr>
    </w:lvl>
    <w:lvl w:ilvl="7">
      <w:start w:val="1"/>
      <w:numFmt w:val="decimal"/>
      <w:lvlText w:val="%1.%2.%3.%4.%5.%6.%7.%8"/>
      <w:lvlJc w:val="left"/>
      <w:pPr>
        <w:tabs>
          <w:tab w:val="num" w:pos="6340"/>
        </w:tabs>
        <w:ind w:left="6340" w:hanging="1440"/>
      </w:pPr>
      <w:rPr>
        <w:rFonts w:hint="default"/>
        <w:u w:val="single"/>
      </w:rPr>
    </w:lvl>
    <w:lvl w:ilvl="8">
      <w:start w:val="1"/>
      <w:numFmt w:val="decimal"/>
      <w:lvlText w:val="%1.%2.%3.%4.%5.%6.%7.%8.%9"/>
      <w:lvlJc w:val="left"/>
      <w:pPr>
        <w:tabs>
          <w:tab w:val="num" w:pos="7040"/>
        </w:tabs>
        <w:ind w:left="7040" w:hanging="1440"/>
      </w:pPr>
      <w:rPr>
        <w:rFonts w:hint="default"/>
        <w:u w:val="single"/>
      </w:rPr>
    </w:lvl>
  </w:abstractNum>
  <w:abstractNum w:abstractNumId="7">
    <w:nsid w:val="6CC35543"/>
    <w:multiLevelType w:val="hybridMultilevel"/>
    <w:tmpl w:val="69BA79B0"/>
    <w:lvl w:ilvl="0" w:tplc="0E5A0D1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7"/>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52FD7"/>
    <w:rsid w:val="00131056"/>
    <w:rsid w:val="00167406"/>
    <w:rsid w:val="00272B64"/>
    <w:rsid w:val="00277B32"/>
    <w:rsid w:val="003141DE"/>
    <w:rsid w:val="00314A44"/>
    <w:rsid w:val="007F7CF0"/>
    <w:rsid w:val="00881AA6"/>
    <w:rsid w:val="00BC01D1"/>
    <w:rsid w:val="00BF41F6"/>
    <w:rsid w:val="00C52FD7"/>
    <w:rsid w:val="00DE6475"/>
    <w:rsid w:val="00F542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D7"/>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B64"/>
    <w:pPr>
      <w:tabs>
        <w:tab w:val="center" w:pos="4320"/>
        <w:tab w:val="right" w:pos="8640"/>
      </w:tabs>
    </w:pPr>
    <w:rPr>
      <w:sz w:val="20"/>
      <w:szCs w:val="20"/>
    </w:rPr>
  </w:style>
  <w:style w:type="character" w:customStyle="1" w:styleId="HeaderChar">
    <w:name w:val="Header Char"/>
    <w:basedOn w:val="DefaultParagraphFont"/>
    <w:link w:val="Header"/>
    <w:rsid w:val="00272B64"/>
    <w:rPr>
      <w:rFonts w:ascii="Times New Roman" w:eastAsia="Times New Roman" w:hAnsi="Times New Roman" w:cs="Times New Roman"/>
      <w:sz w:val="20"/>
      <w:szCs w:val="20"/>
      <w:lang w:eastAsia="en-US" w:bidi="ar-SA"/>
    </w:rPr>
  </w:style>
  <w:style w:type="paragraph" w:styleId="Footer">
    <w:name w:val="footer"/>
    <w:aliases w:val=" Char, Char Char Char Char Char, Char Char Char Char, Char Char Char"/>
    <w:basedOn w:val="Normal"/>
    <w:link w:val="FooterChar"/>
    <w:rsid w:val="00272B64"/>
    <w:pPr>
      <w:tabs>
        <w:tab w:val="center" w:pos="4819"/>
        <w:tab w:val="right" w:pos="9071"/>
      </w:tabs>
    </w:pPr>
    <w:rPr>
      <w:rFonts w:ascii="Tms Rmn" w:hAnsi="Tms Rmn"/>
      <w:shadow/>
      <w:noProof/>
      <w:sz w:val="20"/>
      <w:szCs w:val="20"/>
    </w:rPr>
  </w:style>
  <w:style w:type="character" w:customStyle="1" w:styleId="FooterChar">
    <w:name w:val="Footer Char"/>
    <w:aliases w:val=" Char Char, Char Char Char Char Char Char, Char Char Char Char Char1, Char Char Char Char1"/>
    <w:basedOn w:val="DefaultParagraphFont"/>
    <w:link w:val="Footer"/>
    <w:rsid w:val="00272B64"/>
    <w:rPr>
      <w:rFonts w:ascii="Tms Rmn" w:eastAsia="Times New Roman" w:hAnsi="Tms Rmn" w:cs="Times New Roman"/>
      <w:shadow/>
      <w:noProof/>
      <w:sz w:val="20"/>
      <w:szCs w:val="20"/>
      <w:lang w:eastAsia="en-US" w:bidi="ar-SA"/>
    </w:rPr>
  </w:style>
  <w:style w:type="paragraph" w:styleId="BalloonText">
    <w:name w:val="Balloon Text"/>
    <w:basedOn w:val="Normal"/>
    <w:link w:val="BalloonTextChar"/>
    <w:uiPriority w:val="99"/>
    <w:semiHidden/>
    <w:unhideWhenUsed/>
    <w:rsid w:val="00272B64"/>
    <w:rPr>
      <w:rFonts w:ascii="Tahoma" w:hAnsi="Tahoma" w:cs="Tahoma"/>
      <w:sz w:val="16"/>
      <w:szCs w:val="16"/>
    </w:rPr>
  </w:style>
  <w:style w:type="character" w:customStyle="1" w:styleId="BalloonTextChar">
    <w:name w:val="Balloon Text Char"/>
    <w:basedOn w:val="DefaultParagraphFont"/>
    <w:link w:val="BalloonText"/>
    <w:uiPriority w:val="99"/>
    <w:semiHidden/>
    <w:rsid w:val="00272B64"/>
    <w:rPr>
      <w:rFonts w:ascii="Tahoma" w:eastAsia="Times New Roman" w:hAnsi="Tahoma" w:cs="Tahoma"/>
      <w:sz w:val="16"/>
      <w:szCs w:val="16"/>
      <w:lang w:eastAsia="en-US" w:bidi="ar-SA"/>
    </w:rPr>
  </w:style>
  <w:style w:type="paragraph" w:styleId="Title">
    <w:name w:val="Title"/>
    <w:basedOn w:val="Normal"/>
    <w:link w:val="TitleChar"/>
    <w:qFormat/>
    <w:rsid w:val="00272B64"/>
    <w:pPr>
      <w:jc w:val="center"/>
    </w:pPr>
    <w:rPr>
      <w:u w:val="single"/>
    </w:rPr>
  </w:style>
  <w:style w:type="character" w:customStyle="1" w:styleId="TitleChar">
    <w:name w:val="Title Char"/>
    <w:basedOn w:val="DefaultParagraphFont"/>
    <w:link w:val="Title"/>
    <w:rsid w:val="00272B64"/>
    <w:rPr>
      <w:rFonts w:ascii="Times New Roman" w:eastAsia="Times New Roman" w:hAnsi="Times New Roman" w:cs="Times New Roman"/>
      <w:sz w:val="24"/>
      <w:szCs w:val="24"/>
      <w:u w:val="single"/>
      <w:lang w:eastAsia="en-US" w:bidi="ar-SA"/>
    </w:rPr>
  </w:style>
  <w:style w:type="character" w:styleId="PageNumber">
    <w:name w:val="page number"/>
    <w:basedOn w:val="DefaultParagraphFont"/>
    <w:rsid w:val="00272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D7"/>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B64"/>
    <w:pPr>
      <w:tabs>
        <w:tab w:val="center" w:pos="4320"/>
        <w:tab w:val="right" w:pos="8640"/>
      </w:tabs>
    </w:pPr>
    <w:rPr>
      <w:sz w:val="20"/>
      <w:szCs w:val="20"/>
    </w:rPr>
  </w:style>
  <w:style w:type="character" w:customStyle="1" w:styleId="HeaderChar">
    <w:name w:val="Header Char"/>
    <w:basedOn w:val="DefaultParagraphFont"/>
    <w:link w:val="Header"/>
    <w:rsid w:val="00272B64"/>
    <w:rPr>
      <w:rFonts w:ascii="Times New Roman" w:eastAsia="Times New Roman" w:hAnsi="Times New Roman" w:cs="Times New Roman"/>
      <w:sz w:val="20"/>
      <w:szCs w:val="20"/>
      <w:lang w:eastAsia="en-US" w:bidi="ar-SA"/>
    </w:rPr>
  </w:style>
  <w:style w:type="paragraph" w:styleId="Footer">
    <w:name w:val="footer"/>
    <w:aliases w:val=" Char, Char Char Char Char Char, Char Char Char Char, Char Char Char"/>
    <w:basedOn w:val="Normal"/>
    <w:link w:val="FooterChar"/>
    <w:rsid w:val="00272B64"/>
    <w:pPr>
      <w:tabs>
        <w:tab w:val="center" w:pos="4819"/>
        <w:tab w:val="right" w:pos="9071"/>
      </w:tabs>
    </w:pPr>
    <w:rPr>
      <w:rFonts w:ascii="Tms Rmn" w:hAnsi="Tms Rmn"/>
      <w:shadow/>
      <w:noProof/>
      <w:sz w:val="20"/>
      <w:szCs w:val="20"/>
    </w:rPr>
  </w:style>
  <w:style w:type="character" w:customStyle="1" w:styleId="FooterChar">
    <w:name w:val="Footer Char"/>
    <w:aliases w:val=" Char Char, Char Char Char Char Char Char, Char Char Char Char Char1, Char Char Char Char1"/>
    <w:basedOn w:val="DefaultParagraphFont"/>
    <w:link w:val="Footer"/>
    <w:rsid w:val="00272B64"/>
    <w:rPr>
      <w:rFonts w:ascii="Tms Rmn" w:eastAsia="Times New Roman" w:hAnsi="Tms Rmn" w:cs="Times New Roman"/>
      <w:shadow/>
      <w:noProof/>
      <w:sz w:val="20"/>
      <w:szCs w:val="20"/>
      <w:lang w:eastAsia="en-US" w:bidi="ar-SA"/>
    </w:rPr>
  </w:style>
  <w:style w:type="paragraph" w:styleId="BalloonText">
    <w:name w:val="Balloon Text"/>
    <w:basedOn w:val="Normal"/>
    <w:link w:val="BalloonTextChar"/>
    <w:uiPriority w:val="99"/>
    <w:semiHidden/>
    <w:unhideWhenUsed/>
    <w:rsid w:val="00272B64"/>
    <w:rPr>
      <w:rFonts w:ascii="Tahoma" w:hAnsi="Tahoma" w:cs="Tahoma"/>
      <w:sz w:val="16"/>
      <w:szCs w:val="16"/>
    </w:rPr>
  </w:style>
  <w:style w:type="character" w:customStyle="1" w:styleId="BalloonTextChar">
    <w:name w:val="Balloon Text Char"/>
    <w:basedOn w:val="DefaultParagraphFont"/>
    <w:link w:val="BalloonText"/>
    <w:uiPriority w:val="99"/>
    <w:semiHidden/>
    <w:rsid w:val="00272B64"/>
    <w:rPr>
      <w:rFonts w:ascii="Tahoma" w:eastAsia="Times New Roman" w:hAnsi="Tahoma" w:cs="Tahoma"/>
      <w:sz w:val="16"/>
      <w:szCs w:val="16"/>
      <w:lang w:eastAsia="en-US" w:bidi="ar-SA"/>
    </w:rPr>
  </w:style>
  <w:style w:type="paragraph" w:styleId="Title">
    <w:name w:val="Title"/>
    <w:basedOn w:val="Normal"/>
    <w:link w:val="TitleChar"/>
    <w:qFormat/>
    <w:rsid w:val="00272B64"/>
    <w:pPr>
      <w:jc w:val="center"/>
    </w:pPr>
    <w:rPr>
      <w:u w:val="single"/>
    </w:rPr>
  </w:style>
  <w:style w:type="character" w:customStyle="1" w:styleId="TitleChar">
    <w:name w:val="Title Char"/>
    <w:basedOn w:val="DefaultParagraphFont"/>
    <w:link w:val="Title"/>
    <w:rsid w:val="00272B64"/>
    <w:rPr>
      <w:rFonts w:ascii="Times New Roman" w:eastAsia="Times New Roman" w:hAnsi="Times New Roman" w:cs="Times New Roman"/>
      <w:sz w:val="24"/>
      <w:szCs w:val="24"/>
      <w:u w:val="single"/>
      <w:lang w:eastAsia="en-US" w:bidi="ar-SA"/>
    </w:rPr>
  </w:style>
  <w:style w:type="character" w:styleId="PageNumber">
    <w:name w:val="page number"/>
    <w:basedOn w:val="DefaultParagraphFont"/>
    <w:rsid w:val="0027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5</cp:revision>
  <dcterms:created xsi:type="dcterms:W3CDTF">2013-06-05T05:07:00Z</dcterms:created>
  <dcterms:modified xsi:type="dcterms:W3CDTF">2017-10-06T04:59:00Z</dcterms:modified>
</cp:coreProperties>
</file>